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AC9" w:rsidRPr="00941D80" w:rsidRDefault="004633E5">
      <w:pPr>
        <w:jc w:val="center"/>
        <w:rPr>
          <w:rFonts w:ascii="Arial" w:hAnsi="Arial"/>
          <w:b/>
          <w:sz w:val="24"/>
          <w:szCs w:val="24"/>
          <w:lang w:val="de-DE"/>
        </w:rPr>
      </w:pPr>
      <w:r w:rsidRPr="00941D80">
        <w:rPr>
          <w:noProof/>
          <w:lang w:val="fr-BE" w:eastAsia="fr-BE"/>
        </w:rPr>
        <w:drawing>
          <wp:anchor distT="0" distB="0" distL="114300" distR="114300" simplePos="0" relativeHeight="251657728" behindDoc="1" locked="0" layoutInCell="1" allowOverlap="1">
            <wp:simplePos x="0" y="0"/>
            <wp:positionH relativeFrom="page">
              <wp:posOffset>720090</wp:posOffset>
            </wp:positionH>
            <wp:positionV relativeFrom="page">
              <wp:posOffset>693420</wp:posOffset>
            </wp:positionV>
            <wp:extent cx="6137910" cy="1287780"/>
            <wp:effectExtent l="0" t="0" r="0" b="7620"/>
            <wp:wrapNone/>
            <wp:docPr id="2" name="Image 2" descr="En-tête 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n-tête N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37910" cy="1287780"/>
                    </a:xfrm>
                    <a:prstGeom prst="rect">
                      <a:avLst/>
                    </a:prstGeom>
                    <a:noFill/>
                  </pic:spPr>
                </pic:pic>
              </a:graphicData>
            </a:graphic>
          </wp:anchor>
        </w:drawing>
      </w:r>
    </w:p>
    <w:p w:rsidR="005F0AC9" w:rsidRPr="00941D80" w:rsidRDefault="004633E5">
      <w:pPr>
        <w:jc w:val="center"/>
        <w:rPr>
          <w:rFonts w:ascii="Arial" w:hAnsi="Arial"/>
          <w:b/>
          <w:sz w:val="24"/>
          <w:szCs w:val="24"/>
          <w:lang w:val="de-DE"/>
        </w:rPr>
      </w:pPr>
    </w:p>
    <w:p w:rsidR="005F0AC9" w:rsidRPr="00941D80" w:rsidRDefault="004633E5">
      <w:pPr>
        <w:jc w:val="center"/>
        <w:rPr>
          <w:rFonts w:ascii="Arial" w:hAnsi="Arial"/>
          <w:b/>
          <w:sz w:val="24"/>
          <w:szCs w:val="24"/>
          <w:lang w:val="de-DE"/>
        </w:rPr>
      </w:pPr>
    </w:p>
    <w:p w:rsidR="005F0AC9" w:rsidRPr="00941D80" w:rsidRDefault="004633E5">
      <w:pPr>
        <w:jc w:val="center"/>
        <w:rPr>
          <w:rFonts w:ascii="Arial" w:hAnsi="Arial"/>
          <w:b/>
          <w:sz w:val="24"/>
          <w:szCs w:val="24"/>
          <w:lang w:val="de-DE"/>
        </w:rPr>
      </w:pPr>
    </w:p>
    <w:p w:rsidR="005F0AC9" w:rsidRPr="00941D80" w:rsidRDefault="004633E5">
      <w:pPr>
        <w:jc w:val="center"/>
        <w:rPr>
          <w:rFonts w:ascii="Arial" w:hAnsi="Arial"/>
          <w:b/>
          <w:sz w:val="24"/>
          <w:szCs w:val="24"/>
          <w:lang w:val="de-DE"/>
        </w:rPr>
      </w:pPr>
      <w:r w:rsidRPr="00941D80">
        <w:rPr>
          <w:rFonts w:ascii="Arial" w:hAnsi="Arial"/>
          <w:b/>
          <w:sz w:val="24"/>
          <w:szCs w:val="24"/>
          <w:lang w:val="de-DE"/>
        </w:rPr>
        <w:t>PRESSEMITTEILUNG</w:t>
      </w:r>
    </w:p>
    <w:p w:rsidR="005F0AC9" w:rsidRPr="00941D80" w:rsidRDefault="004633E5" w:rsidP="00BF3190">
      <w:pPr>
        <w:rPr>
          <w:rFonts w:ascii="Arial" w:hAnsi="Arial"/>
          <w:sz w:val="24"/>
          <w:szCs w:val="24"/>
          <w:lang w:val="de-DE"/>
        </w:rPr>
      </w:pPr>
    </w:p>
    <w:p w:rsidR="005F0AC9" w:rsidRPr="00941D80" w:rsidRDefault="004633E5" w:rsidP="00F765F3">
      <w:pPr>
        <w:spacing w:line="360" w:lineRule="auto"/>
        <w:jc w:val="center"/>
        <w:rPr>
          <w:rFonts w:ascii="Arial" w:hAnsi="Arial"/>
          <w:b/>
          <w:sz w:val="24"/>
          <w:szCs w:val="24"/>
          <w:lang w:val="de-DE"/>
        </w:rPr>
      </w:pPr>
      <w:r w:rsidRPr="00941D80">
        <w:rPr>
          <w:rFonts w:ascii="Arial" w:hAnsi="Arial"/>
          <w:b/>
          <w:sz w:val="24"/>
          <w:szCs w:val="24"/>
          <w:lang w:val="de-DE"/>
        </w:rPr>
        <w:t>Tätigkeitsbericht</w:t>
      </w:r>
      <w:r w:rsidRPr="00941D80">
        <w:rPr>
          <w:rFonts w:ascii="Arial" w:hAnsi="Arial"/>
          <w:b/>
          <w:sz w:val="24"/>
          <w:szCs w:val="24"/>
          <w:lang w:val="de-DE"/>
        </w:rPr>
        <w:t xml:space="preserve"> 2014 d</w:t>
      </w:r>
      <w:r>
        <w:rPr>
          <w:rFonts w:ascii="Arial" w:hAnsi="Arial"/>
          <w:b/>
          <w:sz w:val="24"/>
          <w:szCs w:val="24"/>
          <w:lang w:val="de-DE"/>
        </w:rPr>
        <w:t xml:space="preserve">es föderalen </w:t>
      </w:r>
      <w:proofErr w:type="spellStart"/>
      <w:r>
        <w:rPr>
          <w:rFonts w:ascii="Arial" w:hAnsi="Arial"/>
          <w:b/>
          <w:sz w:val="24"/>
          <w:szCs w:val="24"/>
          <w:lang w:val="de-DE"/>
        </w:rPr>
        <w:t>Omb</w:t>
      </w:r>
      <w:r w:rsidRPr="00941D80">
        <w:rPr>
          <w:rFonts w:ascii="Arial" w:hAnsi="Arial"/>
          <w:b/>
          <w:sz w:val="24"/>
          <w:szCs w:val="24"/>
          <w:lang w:val="de-DE"/>
        </w:rPr>
        <w:t>u</w:t>
      </w:r>
      <w:r>
        <w:rPr>
          <w:rFonts w:ascii="Arial" w:hAnsi="Arial"/>
          <w:b/>
          <w:sz w:val="24"/>
          <w:szCs w:val="24"/>
          <w:lang w:val="de-DE"/>
        </w:rPr>
        <w:t>dsdienstes</w:t>
      </w:r>
      <w:proofErr w:type="spellEnd"/>
      <w:r>
        <w:rPr>
          <w:rFonts w:ascii="Arial" w:hAnsi="Arial"/>
          <w:b/>
          <w:sz w:val="24"/>
          <w:szCs w:val="24"/>
          <w:lang w:val="de-DE"/>
        </w:rPr>
        <w:t xml:space="preserve"> für Energie</w:t>
      </w:r>
    </w:p>
    <w:p w:rsidR="005F0AC9" w:rsidRPr="00941D80" w:rsidRDefault="004633E5" w:rsidP="00874C00">
      <w:pPr>
        <w:spacing w:after="0" w:line="360" w:lineRule="auto"/>
        <w:jc w:val="both"/>
        <w:rPr>
          <w:rFonts w:ascii="Arial" w:hAnsi="Arial"/>
          <w:sz w:val="24"/>
          <w:szCs w:val="24"/>
          <w:lang w:val="de-DE"/>
        </w:rPr>
      </w:pPr>
      <w:r>
        <w:rPr>
          <w:rFonts w:ascii="Arial" w:hAnsi="Arial"/>
          <w:sz w:val="24"/>
          <w:szCs w:val="24"/>
          <w:lang w:val="de-DE"/>
        </w:rPr>
        <w:t xml:space="preserve">Beim föderalen </w:t>
      </w:r>
      <w:proofErr w:type="spellStart"/>
      <w:r>
        <w:rPr>
          <w:rFonts w:ascii="Arial" w:hAnsi="Arial"/>
          <w:sz w:val="24"/>
          <w:szCs w:val="24"/>
          <w:lang w:val="de-DE"/>
        </w:rPr>
        <w:t>Ombudsdienst</w:t>
      </w:r>
      <w:proofErr w:type="spellEnd"/>
      <w:r>
        <w:rPr>
          <w:rFonts w:ascii="Arial" w:hAnsi="Arial"/>
          <w:sz w:val="24"/>
          <w:szCs w:val="24"/>
          <w:lang w:val="de-DE"/>
        </w:rPr>
        <w:t xml:space="preserve"> für Energie sind im Geschäftsjahr 2014 insgesamt</w:t>
      </w:r>
      <w:r w:rsidRPr="00941D80">
        <w:rPr>
          <w:rFonts w:ascii="Arial" w:hAnsi="Arial"/>
          <w:sz w:val="24"/>
          <w:szCs w:val="24"/>
          <w:lang w:val="de-DE"/>
        </w:rPr>
        <w:t xml:space="preserve"> 4</w:t>
      </w:r>
      <w:r>
        <w:rPr>
          <w:rFonts w:ascii="Arial" w:hAnsi="Arial"/>
          <w:sz w:val="24"/>
          <w:szCs w:val="24"/>
          <w:lang w:val="de-DE"/>
        </w:rPr>
        <w:t>.</w:t>
      </w:r>
      <w:r w:rsidRPr="00941D80">
        <w:rPr>
          <w:rFonts w:ascii="Arial" w:hAnsi="Arial"/>
          <w:sz w:val="24"/>
          <w:szCs w:val="24"/>
          <w:lang w:val="de-DE"/>
        </w:rPr>
        <w:t xml:space="preserve">819 </w:t>
      </w:r>
      <w:r>
        <w:rPr>
          <w:rFonts w:ascii="Arial" w:hAnsi="Arial"/>
          <w:sz w:val="24"/>
          <w:szCs w:val="24"/>
          <w:lang w:val="de-DE"/>
        </w:rPr>
        <w:t>Beschwerden</w:t>
      </w:r>
      <w:r>
        <w:rPr>
          <w:rFonts w:ascii="Arial" w:hAnsi="Arial"/>
          <w:sz w:val="24"/>
          <w:szCs w:val="24"/>
          <w:lang w:val="de-DE"/>
        </w:rPr>
        <w:t xml:space="preserve"> eingegangen (im Vergleich zu </w:t>
      </w:r>
      <w:r w:rsidRPr="00941D80">
        <w:rPr>
          <w:rFonts w:ascii="Arial" w:hAnsi="Arial"/>
          <w:sz w:val="24"/>
          <w:szCs w:val="24"/>
          <w:lang w:val="de-DE"/>
        </w:rPr>
        <w:t>8</w:t>
      </w:r>
      <w:r>
        <w:rPr>
          <w:rFonts w:ascii="Arial" w:hAnsi="Arial"/>
          <w:sz w:val="24"/>
          <w:szCs w:val="24"/>
          <w:lang w:val="de-DE"/>
        </w:rPr>
        <w:t>.</w:t>
      </w:r>
      <w:r w:rsidRPr="00941D80">
        <w:rPr>
          <w:rFonts w:ascii="Arial" w:hAnsi="Arial"/>
          <w:sz w:val="24"/>
          <w:szCs w:val="24"/>
          <w:lang w:val="de-DE"/>
        </w:rPr>
        <w:t xml:space="preserve">331 </w:t>
      </w:r>
      <w:r>
        <w:rPr>
          <w:rFonts w:ascii="Arial" w:hAnsi="Arial"/>
          <w:sz w:val="24"/>
          <w:szCs w:val="24"/>
          <w:lang w:val="de-DE"/>
        </w:rPr>
        <w:t>Beschwerden</w:t>
      </w:r>
      <w:r>
        <w:rPr>
          <w:rFonts w:ascii="Arial" w:hAnsi="Arial"/>
          <w:sz w:val="24"/>
          <w:szCs w:val="24"/>
          <w:lang w:val="de-DE"/>
        </w:rPr>
        <w:t xml:space="preserve"> im Jahr</w:t>
      </w:r>
      <w:r w:rsidRPr="00941D80">
        <w:rPr>
          <w:rFonts w:ascii="Arial" w:hAnsi="Arial"/>
          <w:sz w:val="24"/>
          <w:szCs w:val="24"/>
          <w:lang w:val="de-DE"/>
        </w:rPr>
        <w:t xml:space="preserve"> 2012 </w:t>
      </w:r>
      <w:r>
        <w:rPr>
          <w:rFonts w:ascii="Arial" w:hAnsi="Arial"/>
          <w:sz w:val="24"/>
          <w:szCs w:val="24"/>
          <w:lang w:val="de-DE"/>
        </w:rPr>
        <w:t>und</w:t>
      </w:r>
      <w:r w:rsidRPr="00941D80">
        <w:rPr>
          <w:rFonts w:ascii="Arial" w:hAnsi="Arial"/>
          <w:sz w:val="24"/>
          <w:szCs w:val="24"/>
          <w:lang w:val="de-DE"/>
        </w:rPr>
        <w:t xml:space="preserve"> 6</w:t>
      </w:r>
      <w:r>
        <w:rPr>
          <w:rFonts w:ascii="Arial" w:hAnsi="Arial"/>
          <w:sz w:val="24"/>
          <w:szCs w:val="24"/>
          <w:lang w:val="de-DE"/>
        </w:rPr>
        <w:t>.</w:t>
      </w:r>
      <w:r w:rsidRPr="00941D80">
        <w:rPr>
          <w:rFonts w:ascii="Arial" w:hAnsi="Arial"/>
          <w:sz w:val="24"/>
          <w:szCs w:val="24"/>
          <w:lang w:val="de-DE"/>
        </w:rPr>
        <w:t xml:space="preserve">657 </w:t>
      </w:r>
      <w:r>
        <w:rPr>
          <w:rFonts w:ascii="Arial" w:hAnsi="Arial"/>
          <w:sz w:val="24"/>
          <w:szCs w:val="24"/>
          <w:lang w:val="de-DE"/>
        </w:rPr>
        <w:t>Beschwerden</w:t>
      </w:r>
      <w:r>
        <w:rPr>
          <w:rFonts w:ascii="Arial" w:hAnsi="Arial"/>
          <w:sz w:val="24"/>
          <w:szCs w:val="24"/>
          <w:lang w:val="de-DE"/>
        </w:rPr>
        <w:t xml:space="preserve"> im Jahr</w:t>
      </w:r>
      <w:r w:rsidRPr="00941D80">
        <w:rPr>
          <w:rFonts w:ascii="Arial" w:hAnsi="Arial"/>
          <w:sz w:val="24"/>
          <w:szCs w:val="24"/>
          <w:lang w:val="de-DE"/>
        </w:rPr>
        <w:t xml:space="preserve"> 2013)</w:t>
      </w:r>
      <w:r>
        <w:rPr>
          <w:rFonts w:ascii="Arial" w:hAnsi="Arial"/>
          <w:sz w:val="24"/>
          <w:szCs w:val="24"/>
          <w:lang w:val="de-DE"/>
        </w:rPr>
        <w:t>. Davon waren 5</w:t>
      </w:r>
      <w:r w:rsidRPr="00941D80">
        <w:rPr>
          <w:rFonts w:ascii="Arial" w:hAnsi="Arial"/>
          <w:sz w:val="24"/>
          <w:szCs w:val="24"/>
          <w:lang w:val="de-DE"/>
        </w:rPr>
        <w:t xml:space="preserve">6,5% </w:t>
      </w:r>
      <w:r>
        <w:rPr>
          <w:rFonts w:ascii="Arial" w:hAnsi="Arial"/>
          <w:sz w:val="24"/>
          <w:szCs w:val="24"/>
          <w:lang w:val="de-DE"/>
        </w:rPr>
        <w:t>niederländischsprachig,</w:t>
      </w:r>
      <w:r w:rsidRPr="00941D80">
        <w:rPr>
          <w:rFonts w:ascii="Arial" w:hAnsi="Arial"/>
          <w:sz w:val="24"/>
          <w:szCs w:val="24"/>
          <w:lang w:val="de-DE"/>
        </w:rPr>
        <w:t xml:space="preserve"> 43,1% </w:t>
      </w:r>
      <w:r>
        <w:rPr>
          <w:rFonts w:ascii="Arial" w:hAnsi="Arial"/>
          <w:sz w:val="24"/>
          <w:szCs w:val="24"/>
          <w:lang w:val="de-DE"/>
        </w:rPr>
        <w:t>französischsprachig und</w:t>
      </w:r>
      <w:r w:rsidRPr="00941D80">
        <w:rPr>
          <w:rFonts w:ascii="Arial" w:hAnsi="Arial"/>
          <w:sz w:val="24"/>
          <w:szCs w:val="24"/>
          <w:lang w:val="de-DE"/>
        </w:rPr>
        <w:t xml:space="preserve"> 0,4% </w:t>
      </w:r>
      <w:r>
        <w:rPr>
          <w:rFonts w:ascii="Arial" w:hAnsi="Arial"/>
          <w:sz w:val="24"/>
          <w:szCs w:val="24"/>
          <w:lang w:val="de-DE"/>
        </w:rPr>
        <w:t>deutschsprachig</w:t>
      </w:r>
      <w:r w:rsidRPr="00941D80">
        <w:rPr>
          <w:rFonts w:ascii="Arial" w:hAnsi="Arial"/>
          <w:sz w:val="24"/>
          <w:szCs w:val="24"/>
          <w:lang w:val="de-DE"/>
        </w:rPr>
        <w:t>.</w:t>
      </w:r>
    </w:p>
    <w:p w:rsidR="005F0AC9" w:rsidRPr="00941D80" w:rsidRDefault="004633E5" w:rsidP="00F765F3">
      <w:pPr>
        <w:spacing w:line="360" w:lineRule="auto"/>
        <w:rPr>
          <w:rFonts w:ascii="Arial" w:hAnsi="Arial"/>
          <w:sz w:val="24"/>
          <w:szCs w:val="24"/>
          <w:lang w:val="de-DE"/>
        </w:rPr>
      </w:pPr>
    </w:p>
    <w:p w:rsidR="005F0AC9" w:rsidRPr="00941D80" w:rsidRDefault="004633E5" w:rsidP="00874C00">
      <w:pPr>
        <w:spacing w:line="360" w:lineRule="auto"/>
        <w:jc w:val="both"/>
        <w:rPr>
          <w:rFonts w:ascii="Arial" w:hAnsi="Arial"/>
          <w:sz w:val="24"/>
          <w:szCs w:val="24"/>
          <w:lang w:val="de-DE"/>
        </w:rPr>
      </w:pPr>
      <w:r>
        <w:rPr>
          <w:rFonts w:ascii="Arial" w:hAnsi="Arial"/>
          <w:sz w:val="24"/>
          <w:szCs w:val="24"/>
          <w:lang w:val="de-DE"/>
        </w:rPr>
        <w:t xml:space="preserve">Dieser weitere Rückgang der Anzahl Beschwerden </w:t>
      </w:r>
      <w:r w:rsidRPr="00941D80">
        <w:rPr>
          <w:rFonts w:ascii="Arial" w:hAnsi="Arial"/>
          <w:sz w:val="24"/>
          <w:szCs w:val="24"/>
          <w:lang w:val="de-DE"/>
        </w:rPr>
        <w:t xml:space="preserve">(- 1.838 </w:t>
      </w:r>
      <w:r>
        <w:rPr>
          <w:rFonts w:ascii="Arial" w:hAnsi="Arial"/>
          <w:sz w:val="24"/>
          <w:szCs w:val="24"/>
          <w:lang w:val="de-DE"/>
        </w:rPr>
        <w:t>Klagen</w:t>
      </w:r>
      <w:r w:rsidRPr="00941D80">
        <w:rPr>
          <w:rFonts w:ascii="Arial" w:hAnsi="Arial"/>
          <w:sz w:val="24"/>
          <w:szCs w:val="24"/>
          <w:lang w:val="de-DE"/>
        </w:rPr>
        <w:t xml:space="preserve">) </w:t>
      </w:r>
      <w:r>
        <w:rPr>
          <w:rFonts w:ascii="Arial" w:hAnsi="Arial"/>
          <w:sz w:val="24"/>
          <w:szCs w:val="24"/>
          <w:lang w:val="de-DE"/>
        </w:rPr>
        <w:t xml:space="preserve">ist laut </w:t>
      </w:r>
      <w:proofErr w:type="spellStart"/>
      <w:r>
        <w:rPr>
          <w:rFonts w:ascii="Arial" w:hAnsi="Arial"/>
          <w:sz w:val="24"/>
          <w:szCs w:val="24"/>
          <w:lang w:val="de-DE"/>
        </w:rPr>
        <w:t>Ombudsdienst</w:t>
      </w:r>
      <w:proofErr w:type="spellEnd"/>
      <w:r>
        <w:rPr>
          <w:rFonts w:ascii="Arial" w:hAnsi="Arial"/>
          <w:sz w:val="24"/>
          <w:szCs w:val="24"/>
          <w:lang w:val="de-DE"/>
        </w:rPr>
        <w:t xml:space="preserve"> hauptsächlich auf den Rückgang des Energieverbrauchs</w:t>
      </w:r>
      <w:r>
        <w:rPr>
          <w:rFonts w:ascii="Arial" w:hAnsi="Arial"/>
          <w:sz w:val="24"/>
          <w:szCs w:val="24"/>
          <w:lang w:val="de-DE"/>
        </w:rPr>
        <w:t xml:space="preserve"> während der milden Wintermonate 2013-2014, </w:t>
      </w:r>
      <w:r w:rsidRPr="00941D80">
        <w:rPr>
          <w:rFonts w:ascii="Arial" w:hAnsi="Arial"/>
          <w:sz w:val="24"/>
          <w:szCs w:val="24"/>
          <w:lang w:val="de-DE"/>
        </w:rPr>
        <w:t>d</w:t>
      </w:r>
      <w:r>
        <w:rPr>
          <w:rFonts w:ascii="Arial" w:hAnsi="Arial"/>
          <w:sz w:val="24"/>
          <w:szCs w:val="24"/>
          <w:lang w:val="de-DE"/>
        </w:rPr>
        <w:t>i</w:t>
      </w:r>
      <w:r w:rsidRPr="00941D80">
        <w:rPr>
          <w:rFonts w:ascii="Arial" w:hAnsi="Arial"/>
          <w:sz w:val="24"/>
          <w:szCs w:val="24"/>
          <w:lang w:val="de-DE"/>
        </w:rPr>
        <w:t xml:space="preserve">e </w:t>
      </w:r>
      <w:r>
        <w:rPr>
          <w:rFonts w:ascii="Arial" w:hAnsi="Arial"/>
          <w:sz w:val="24"/>
          <w:szCs w:val="24"/>
          <w:lang w:val="de-DE"/>
        </w:rPr>
        <w:t xml:space="preserve">Regulierung der (variablen) Energiepreise im Jahr 2014, die Senkung der MwSt. auf </w:t>
      </w:r>
      <w:r w:rsidRPr="00941D80">
        <w:rPr>
          <w:rFonts w:ascii="Arial" w:hAnsi="Arial"/>
          <w:sz w:val="24"/>
          <w:szCs w:val="24"/>
          <w:lang w:val="de-DE"/>
        </w:rPr>
        <w:t xml:space="preserve">6% </w:t>
      </w:r>
      <w:r>
        <w:rPr>
          <w:rFonts w:ascii="Arial" w:hAnsi="Arial"/>
          <w:sz w:val="24"/>
          <w:szCs w:val="24"/>
          <w:lang w:val="de-DE"/>
        </w:rPr>
        <w:t>für Stromrechnungen ab dem 1. April 2014 sowie das Inkrafttreten des n</w:t>
      </w:r>
      <w:r>
        <w:rPr>
          <w:rFonts w:ascii="Arial" w:hAnsi="Arial"/>
          <w:sz w:val="24"/>
          <w:szCs w:val="24"/>
          <w:lang w:val="de-DE"/>
        </w:rPr>
        <w:t>euen Verbraucherabkommens am 1. Januar 2014 zurückzuführen</w:t>
      </w:r>
      <w:r w:rsidRPr="00941D80">
        <w:rPr>
          <w:rFonts w:ascii="Arial" w:hAnsi="Arial"/>
          <w:sz w:val="24"/>
          <w:szCs w:val="24"/>
          <w:lang w:val="de-DE"/>
        </w:rPr>
        <w:t xml:space="preserve">.  </w:t>
      </w:r>
    </w:p>
    <w:p w:rsidR="005F0AC9" w:rsidRPr="00941D80" w:rsidRDefault="004633E5" w:rsidP="00F765F3">
      <w:pPr>
        <w:spacing w:after="0" w:line="360" w:lineRule="auto"/>
        <w:rPr>
          <w:rFonts w:ascii="Arial" w:hAnsi="Arial"/>
          <w:sz w:val="24"/>
          <w:szCs w:val="24"/>
          <w:lang w:val="de-DE"/>
        </w:rPr>
      </w:pPr>
    </w:p>
    <w:p w:rsidR="005F0AC9" w:rsidRPr="00941D80" w:rsidRDefault="004633E5" w:rsidP="00874C00">
      <w:pPr>
        <w:spacing w:line="360" w:lineRule="auto"/>
        <w:jc w:val="both"/>
        <w:rPr>
          <w:rFonts w:ascii="Arial" w:hAnsi="Arial"/>
          <w:sz w:val="24"/>
          <w:szCs w:val="24"/>
          <w:lang w:val="de-DE"/>
        </w:rPr>
      </w:pPr>
      <w:r>
        <w:rPr>
          <w:rFonts w:ascii="Arial" w:hAnsi="Arial"/>
          <w:sz w:val="24"/>
          <w:szCs w:val="24"/>
          <w:lang w:val="de-DE"/>
        </w:rPr>
        <w:t>Die im Jahr 2014 eingegangenen Beschwerden betreffen vornehmlich folgende Streitpunkte</w:t>
      </w:r>
      <w:r w:rsidRPr="00941D80">
        <w:rPr>
          <w:rFonts w:ascii="Arial" w:hAnsi="Arial"/>
          <w:sz w:val="24"/>
          <w:szCs w:val="24"/>
          <w:lang w:val="de-DE"/>
        </w:rPr>
        <w:t>:</w:t>
      </w:r>
    </w:p>
    <w:p w:rsidR="005F0AC9" w:rsidRPr="00941D80" w:rsidRDefault="004633E5" w:rsidP="00874C00">
      <w:pPr>
        <w:numPr>
          <w:ilvl w:val="0"/>
          <w:numId w:val="8"/>
        </w:numPr>
        <w:spacing w:after="0" w:line="360" w:lineRule="auto"/>
        <w:jc w:val="both"/>
        <w:rPr>
          <w:rFonts w:ascii="Arial" w:hAnsi="Arial"/>
          <w:sz w:val="24"/>
          <w:szCs w:val="24"/>
          <w:lang w:val="de-DE"/>
        </w:rPr>
      </w:pPr>
      <w:r>
        <w:rPr>
          <w:rFonts w:ascii="Arial" w:hAnsi="Arial"/>
          <w:sz w:val="24"/>
          <w:szCs w:val="24"/>
          <w:lang w:val="de-DE"/>
        </w:rPr>
        <w:t xml:space="preserve">Die Bearbeitung und Berichtigung der Zählerstände bei der Ablesung oder die jährliche Schätzung im Falle </w:t>
      </w:r>
      <w:r>
        <w:rPr>
          <w:rFonts w:ascii="Arial" w:hAnsi="Arial"/>
          <w:sz w:val="24"/>
          <w:szCs w:val="24"/>
          <w:lang w:val="de-DE"/>
        </w:rPr>
        <w:t xml:space="preserve">von defekten Zählern, Umzügen oder leerstehenden Wohnungen usw. </w:t>
      </w:r>
      <w:r w:rsidRPr="00941D80">
        <w:rPr>
          <w:rFonts w:ascii="Arial" w:hAnsi="Arial"/>
          <w:sz w:val="24"/>
          <w:szCs w:val="24"/>
          <w:lang w:val="de-DE"/>
        </w:rPr>
        <w:t>(24 %);</w:t>
      </w:r>
    </w:p>
    <w:p w:rsidR="005F0AC9" w:rsidRPr="00941D80" w:rsidRDefault="004633E5" w:rsidP="00874C00">
      <w:pPr>
        <w:spacing w:after="0" w:line="360" w:lineRule="auto"/>
        <w:ind w:left="1440"/>
        <w:jc w:val="both"/>
        <w:rPr>
          <w:rFonts w:ascii="Arial" w:hAnsi="Arial"/>
          <w:sz w:val="24"/>
          <w:szCs w:val="24"/>
          <w:lang w:val="de-DE"/>
        </w:rPr>
      </w:pPr>
    </w:p>
    <w:p w:rsidR="005F0AC9" w:rsidRPr="00941D80" w:rsidRDefault="004633E5" w:rsidP="00874C00">
      <w:pPr>
        <w:pStyle w:val="Paragraphedeliste"/>
        <w:numPr>
          <w:ilvl w:val="0"/>
          <w:numId w:val="8"/>
        </w:numPr>
        <w:spacing w:after="0" w:line="360" w:lineRule="auto"/>
        <w:jc w:val="both"/>
        <w:rPr>
          <w:rFonts w:ascii="Arial" w:hAnsi="Arial"/>
          <w:sz w:val="24"/>
          <w:szCs w:val="24"/>
          <w:lang w:val="de-DE"/>
        </w:rPr>
      </w:pPr>
      <w:r>
        <w:rPr>
          <w:rFonts w:ascii="Arial" w:hAnsi="Arial"/>
          <w:sz w:val="24"/>
          <w:szCs w:val="24"/>
          <w:lang w:val="de-DE"/>
        </w:rPr>
        <w:t>Die Zahlung der Energierechnungen, wie Zahlungspläne (nicht erfolgte) Zahlungen, Verwaltungskosten, die Zahlung per Lastschrift (Domizilierung), Garantieregelungen</w:t>
      </w:r>
      <w:r w:rsidRPr="00941D80">
        <w:rPr>
          <w:rFonts w:ascii="Arial" w:hAnsi="Arial"/>
          <w:sz w:val="24"/>
          <w:szCs w:val="24"/>
          <w:lang w:val="de-DE"/>
        </w:rPr>
        <w:t xml:space="preserve">, </w:t>
      </w:r>
      <w:r>
        <w:rPr>
          <w:rFonts w:ascii="Arial" w:hAnsi="Arial"/>
          <w:sz w:val="24"/>
          <w:szCs w:val="24"/>
          <w:lang w:val="de-DE"/>
        </w:rPr>
        <w:t>die</w:t>
      </w:r>
      <w:r w:rsidRPr="00941D80">
        <w:rPr>
          <w:rFonts w:ascii="Arial" w:hAnsi="Arial"/>
          <w:sz w:val="24"/>
          <w:szCs w:val="24"/>
          <w:lang w:val="de-DE"/>
        </w:rPr>
        <w:t xml:space="preserve"> (</w:t>
      </w:r>
      <w:r>
        <w:rPr>
          <w:rFonts w:ascii="Arial" w:hAnsi="Arial"/>
          <w:sz w:val="24"/>
          <w:szCs w:val="24"/>
          <w:lang w:val="de-DE"/>
        </w:rPr>
        <w:t>Androhung von</w:t>
      </w:r>
      <w:r>
        <w:rPr>
          <w:rFonts w:ascii="Arial" w:hAnsi="Arial"/>
          <w:sz w:val="24"/>
          <w:szCs w:val="24"/>
          <w:lang w:val="de-DE"/>
        </w:rPr>
        <w:t>)</w:t>
      </w:r>
      <w:r w:rsidRPr="00941D80">
        <w:rPr>
          <w:rFonts w:ascii="Arial" w:hAnsi="Arial"/>
          <w:sz w:val="24"/>
          <w:szCs w:val="24"/>
          <w:lang w:val="de-DE"/>
        </w:rPr>
        <w:t xml:space="preserve"> </w:t>
      </w:r>
      <w:r>
        <w:rPr>
          <w:rFonts w:ascii="Arial" w:hAnsi="Arial"/>
          <w:sz w:val="24"/>
          <w:szCs w:val="24"/>
          <w:lang w:val="de-DE"/>
        </w:rPr>
        <w:t>Kündigung des Energievertrags oder die Kündigung aufgrund von</w:t>
      </w:r>
      <w:r>
        <w:rPr>
          <w:rFonts w:ascii="Arial" w:hAnsi="Arial"/>
          <w:sz w:val="24"/>
          <w:szCs w:val="24"/>
          <w:lang w:val="de-DE"/>
        </w:rPr>
        <w:t xml:space="preserve"> Nichtzahlung</w:t>
      </w:r>
      <w:r w:rsidRPr="00941D80">
        <w:rPr>
          <w:rFonts w:ascii="Arial" w:hAnsi="Arial"/>
          <w:sz w:val="24"/>
          <w:szCs w:val="24"/>
          <w:lang w:val="de-DE"/>
        </w:rPr>
        <w:t xml:space="preserve"> (20%) ;</w:t>
      </w:r>
    </w:p>
    <w:p w:rsidR="005F0AC9" w:rsidRPr="00941D80" w:rsidRDefault="004633E5" w:rsidP="00874C00">
      <w:pPr>
        <w:pStyle w:val="Paragraphedeliste"/>
        <w:spacing w:after="0" w:line="360" w:lineRule="auto"/>
        <w:ind w:left="1440"/>
        <w:jc w:val="both"/>
        <w:rPr>
          <w:rFonts w:ascii="Arial" w:hAnsi="Arial"/>
          <w:sz w:val="24"/>
          <w:szCs w:val="24"/>
          <w:lang w:val="de-DE"/>
        </w:rPr>
      </w:pPr>
    </w:p>
    <w:p w:rsidR="005F0AC9" w:rsidRPr="00941D80" w:rsidRDefault="004633E5" w:rsidP="00874C00">
      <w:pPr>
        <w:pStyle w:val="Paragraphedeliste"/>
        <w:numPr>
          <w:ilvl w:val="0"/>
          <w:numId w:val="8"/>
        </w:numPr>
        <w:spacing w:after="0" w:line="360" w:lineRule="auto"/>
        <w:jc w:val="both"/>
        <w:rPr>
          <w:rFonts w:ascii="Arial" w:hAnsi="Arial"/>
          <w:sz w:val="24"/>
          <w:szCs w:val="24"/>
          <w:lang w:val="de-DE"/>
        </w:rPr>
      </w:pPr>
      <w:r>
        <w:rPr>
          <w:rFonts w:ascii="Arial" w:hAnsi="Arial"/>
          <w:sz w:val="24"/>
          <w:szCs w:val="24"/>
          <w:lang w:val="de-DE"/>
        </w:rPr>
        <w:t>Die (verspätete) Ausstellung und die Lesbarkeit der Energierechnungen</w:t>
      </w:r>
      <w:r w:rsidRPr="00941D80">
        <w:rPr>
          <w:rFonts w:ascii="Arial" w:hAnsi="Arial"/>
          <w:sz w:val="24"/>
          <w:szCs w:val="24"/>
          <w:lang w:val="de-DE"/>
        </w:rPr>
        <w:t xml:space="preserve"> (17 %);</w:t>
      </w:r>
    </w:p>
    <w:p w:rsidR="005F0AC9" w:rsidRPr="00941D80" w:rsidRDefault="004633E5" w:rsidP="00874C00">
      <w:pPr>
        <w:spacing w:after="0" w:line="360" w:lineRule="auto"/>
        <w:ind w:left="1080"/>
        <w:jc w:val="both"/>
        <w:rPr>
          <w:rFonts w:ascii="Arial" w:hAnsi="Arial"/>
          <w:sz w:val="24"/>
          <w:szCs w:val="24"/>
          <w:lang w:val="de-DE"/>
        </w:rPr>
      </w:pPr>
    </w:p>
    <w:p w:rsidR="005F0AC9" w:rsidRPr="00941D80" w:rsidRDefault="004633E5" w:rsidP="00874C00">
      <w:pPr>
        <w:pStyle w:val="Paragraphedeliste"/>
        <w:numPr>
          <w:ilvl w:val="0"/>
          <w:numId w:val="3"/>
        </w:numPr>
        <w:spacing w:after="0" w:line="360" w:lineRule="auto"/>
        <w:ind w:left="1440"/>
        <w:jc w:val="both"/>
        <w:rPr>
          <w:rFonts w:ascii="Arial" w:hAnsi="Arial"/>
          <w:sz w:val="24"/>
          <w:szCs w:val="24"/>
          <w:lang w:val="de-DE"/>
        </w:rPr>
      </w:pPr>
      <w:r>
        <w:rPr>
          <w:rFonts w:ascii="Arial" w:hAnsi="Arial"/>
          <w:sz w:val="24"/>
          <w:szCs w:val="24"/>
          <w:lang w:val="de-DE"/>
        </w:rPr>
        <w:t xml:space="preserve">Die Übersichtlichkeit der angewandten Tarife </w:t>
      </w:r>
      <w:r w:rsidRPr="00941D80">
        <w:rPr>
          <w:rFonts w:ascii="Arial" w:hAnsi="Arial"/>
          <w:sz w:val="24"/>
          <w:szCs w:val="24"/>
          <w:lang w:val="de-DE"/>
        </w:rPr>
        <w:t>(15,5 %).</w:t>
      </w:r>
    </w:p>
    <w:p w:rsidR="005F0AC9" w:rsidRPr="00941D80" w:rsidRDefault="004633E5" w:rsidP="00874C00">
      <w:pPr>
        <w:pStyle w:val="Paragraphedeliste"/>
        <w:spacing w:after="0" w:line="360" w:lineRule="auto"/>
        <w:ind w:left="1440"/>
        <w:jc w:val="both"/>
        <w:rPr>
          <w:rFonts w:ascii="Arial" w:hAnsi="Arial"/>
          <w:sz w:val="24"/>
          <w:szCs w:val="24"/>
          <w:lang w:val="de-DE"/>
        </w:rPr>
      </w:pPr>
    </w:p>
    <w:p w:rsidR="005F0AC9" w:rsidRPr="00941D80" w:rsidRDefault="004633E5" w:rsidP="00874C00">
      <w:pPr>
        <w:spacing w:after="0" w:line="360" w:lineRule="auto"/>
        <w:jc w:val="both"/>
        <w:rPr>
          <w:rFonts w:ascii="Arial" w:hAnsi="Arial"/>
          <w:sz w:val="24"/>
          <w:szCs w:val="24"/>
          <w:lang w:val="de-DE"/>
        </w:rPr>
      </w:pPr>
      <w:r>
        <w:rPr>
          <w:rFonts w:ascii="Arial" w:hAnsi="Arial"/>
          <w:sz w:val="24"/>
          <w:szCs w:val="24"/>
          <w:lang w:val="de-DE"/>
        </w:rPr>
        <w:t xml:space="preserve">Die übrigen Beschwerden betrafen die Verkaufs- und Marktpraktiken des Energieversorger </w:t>
      </w:r>
      <w:r w:rsidRPr="00941D80">
        <w:rPr>
          <w:rFonts w:ascii="Arial" w:hAnsi="Arial"/>
          <w:sz w:val="24"/>
          <w:szCs w:val="24"/>
          <w:lang w:val="de-DE"/>
        </w:rPr>
        <w:t xml:space="preserve">(8 %), </w:t>
      </w:r>
      <w:r>
        <w:rPr>
          <w:rFonts w:ascii="Arial" w:hAnsi="Arial"/>
          <w:sz w:val="24"/>
          <w:szCs w:val="24"/>
          <w:lang w:val="de-DE"/>
        </w:rPr>
        <w:t>Probleme beim Versorgerwechsel</w:t>
      </w:r>
      <w:r w:rsidRPr="00941D80">
        <w:rPr>
          <w:rFonts w:ascii="Arial" w:hAnsi="Arial"/>
          <w:sz w:val="24"/>
          <w:szCs w:val="24"/>
          <w:lang w:val="de-DE"/>
        </w:rPr>
        <w:t xml:space="preserve"> (3,5 %), </w:t>
      </w:r>
      <w:r>
        <w:rPr>
          <w:rFonts w:ascii="Arial" w:hAnsi="Arial"/>
          <w:sz w:val="24"/>
          <w:szCs w:val="24"/>
          <w:lang w:val="de-DE"/>
        </w:rPr>
        <w:t>die Qualität der Dienstleistungen</w:t>
      </w:r>
      <w:r w:rsidRPr="00941D80">
        <w:rPr>
          <w:rFonts w:ascii="Arial" w:hAnsi="Arial"/>
          <w:sz w:val="24"/>
          <w:szCs w:val="24"/>
          <w:lang w:val="de-DE"/>
        </w:rPr>
        <w:t xml:space="preserve"> (3 %) </w:t>
      </w:r>
      <w:r>
        <w:rPr>
          <w:rFonts w:ascii="Arial" w:hAnsi="Arial"/>
          <w:sz w:val="24"/>
          <w:szCs w:val="24"/>
          <w:lang w:val="de-DE"/>
        </w:rPr>
        <w:t>und eine Reihe regionaler Kompetenzen</w:t>
      </w:r>
      <w:r w:rsidRPr="00941D80">
        <w:rPr>
          <w:rFonts w:ascii="Arial" w:hAnsi="Arial"/>
          <w:sz w:val="24"/>
          <w:szCs w:val="24"/>
          <w:lang w:val="de-DE"/>
        </w:rPr>
        <w:t xml:space="preserve"> (7 %)</w:t>
      </w:r>
      <w:r>
        <w:rPr>
          <w:rFonts w:ascii="Arial" w:hAnsi="Arial"/>
          <w:sz w:val="24"/>
          <w:szCs w:val="24"/>
          <w:lang w:val="de-DE"/>
        </w:rPr>
        <w:t>, wie den Anschluss an das Verteilernet</w:t>
      </w:r>
      <w:r>
        <w:rPr>
          <w:rFonts w:ascii="Arial" w:hAnsi="Arial"/>
          <w:sz w:val="24"/>
          <w:szCs w:val="24"/>
          <w:lang w:val="de-DE"/>
        </w:rPr>
        <w:t>z, Strompannen, grüne Energie, kostenloser Strom und die Tarife der Verteilernetze, die seit dem 1. Juli 2014 infolge der sechsten Staatsreform an die Regionen übertragen wurden</w:t>
      </w:r>
      <w:r w:rsidRPr="00941D80">
        <w:rPr>
          <w:rFonts w:ascii="Arial" w:hAnsi="Arial"/>
          <w:sz w:val="24"/>
          <w:szCs w:val="24"/>
          <w:lang w:val="de-DE"/>
        </w:rPr>
        <w:t xml:space="preserve">. </w:t>
      </w:r>
    </w:p>
    <w:p w:rsidR="005F0AC9" w:rsidRPr="00941D80" w:rsidRDefault="004633E5" w:rsidP="00F765F3">
      <w:pPr>
        <w:spacing w:after="0" w:line="360" w:lineRule="auto"/>
        <w:rPr>
          <w:rFonts w:ascii="Arial" w:hAnsi="Arial"/>
          <w:sz w:val="24"/>
          <w:szCs w:val="24"/>
          <w:lang w:val="de-DE"/>
        </w:rPr>
      </w:pPr>
    </w:p>
    <w:p w:rsidR="005F0AC9" w:rsidRPr="00941D80" w:rsidRDefault="004633E5" w:rsidP="00F765F3">
      <w:pPr>
        <w:spacing w:line="360" w:lineRule="auto"/>
        <w:rPr>
          <w:rFonts w:ascii="Arial" w:hAnsi="Arial"/>
          <w:sz w:val="24"/>
          <w:szCs w:val="24"/>
          <w:lang w:val="de-DE"/>
        </w:rPr>
      </w:pPr>
      <w:r>
        <w:rPr>
          <w:rFonts w:ascii="Arial" w:hAnsi="Arial"/>
          <w:sz w:val="24"/>
          <w:szCs w:val="24"/>
          <w:lang w:val="de-DE"/>
        </w:rPr>
        <w:t>Von den zulässigen Beschwerden</w:t>
      </w:r>
      <w:r w:rsidRPr="00941D80">
        <w:rPr>
          <w:rFonts w:ascii="Arial" w:hAnsi="Arial"/>
          <w:sz w:val="24"/>
          <w:szCs w:val="24"/>
          <w:lang w:val="de-DE"/>
        </w:rPr>
        <w:t xml:space="preserve"> (41 % de</w:t>
      </w:r>
      <w:r>
        <w:rPr>
          <w:rFonts w:ascii="Arial" w:hAnsi="Arial"/>
          <w:sz w:val="24"/>
          <w:szCs w:val="24"/>
          <w:lang w:val="de-DE"/>
        </w:rPr>
        <w:t>r eingegangenen Klagen</w:t>
      </w:r>
      <w:r w:rsidRPr="00941D80">
        <w:rPr>
          <w:rFonts w:ascii="Arial" w:hAnsi="Arial"/>
          <w:sz w:val="24"/>
          <w:szCs w:val="24"/>
          <w:lang w:val="de-DE"/>
        </w:rPr>
        <w:t>)</w:t>
      </w:r>
      <w:r>
        <w:rPr>
          <w:rFonts w:ascii="Arial" w:hAnsi="Arial"/>
          <w:sz w:val="24"/>
          <w:szCs w:val="24"/>
          <w:lang w:val="de-DE"/>
        </w:rPr>
        <w:t xml:space="preserve"> sind</w:t>
      </w:r>
      <w:r w:rsidRPr="00941D80">
        <w:rPr>
          <w:rFonts w:ascii="Arial" w:hAnsi="Arial"/>
          <w:sz w:val="24"/>
          <w:szCs w:val="24"/>
          <w:lang w:val="de-DE"/>
        </w:rPr>
        <w:t xml:space="preserve"> 65% </w:t>
      </w:r>
      <w:r>
        <w:rPr>
          <w:rFonts w:ascii="Arial" w:hAnsi="Arial"/>
          <w:sz w:val="24"/>
          <w:szCs w:val="24"/>
          <w:lang w:val="de-DE"/>
        </w:rPr>
        <w:t xml:space="preserve">vom </w:t>
      </w:r>
      <w:proofErr w:type="spellStart"/>
      <w:r>
        <w:rPr>
          <w:rFonts w:ascii="Arial" w:hAnsi="Arial"/>
          <w:sz w:val="24"/>
          <w:szCs w:val="24"/>
          <w:lang w:val="de-DE"/>
        </w:rPr>
        <w:t>Ombudsdienst</w:t>
      </w:r>
      <w:proofErr w:type="spellEnd"/>
      <w:r>
        <w:rPr>
          <w:rFonts w:ascii="Arial" w:hAnsi="Arial"/>
          <w:sz w:val="24"/>
          <w:szCs w:val="24"/>
          <w:lang w:val="de-DE"/>
        </w:rPr>
        <w:t xml:space="preserve"> abgeschlossen worden, darunter</w:t>
      </w:r>
      <w:r w:rsidRPr="00941D80">
        <w:rPr>
          <w:rFonts w:ascii="Arial" w:hAnsi="Arial"/>
          <w:sz w:val="24"/>
          <w:szCs w:val="24"/>
          <w:lang w:val="de-DE"/>
        </w:rPr>
        <w:t xml:space="preserve"> </w:t>
      </w:r>
      <w:r w:rsidRPr="00941D80">
        <w:rPr>
          <w:rFonts w:ascii="Arial" w:hAnsi="Arial"/>
          <w:b/>
          <w:sz w:val="24"/>
          <w:szCs w:val="24"/>
          <w:lang w:val="de-DE"/>
        </w:rPr>
        <w:t xml:space="preserve">85 % </w:t>
      </w:r>
      <w:r>
        <w:rPr>
          <w:rFonts w:ascii="Arial" w:hAnsi="Arial"/>
          <w:b/>
          <w:sz w:val="24"/>
          <w:szCs w:val="24"/>
          <w:lang w:val="de-DE"/>
        </w:rPr>
        <w:t>mit einem positiven Ergebnis</w:t>
      </w:r>
      <w:r w:rsidRPr="00941D80">
        <w:rPr>
          <w:rFonts w:ascii="Arial" w:hAnsi="Arial"/>
          <w:sz w:val="24"/>
          <w:szCs w:val="24"/>
          <w:lang w:val="de-DE"/>
        </w:rPr>
        <w:t xml:space="preserve"> </w:t>
      </w:r>
      <w:r>
        <w:rPr>
          <w:rFonts w:ascii="Arial" w:hAnsi="Arial"/>
          <w:sz w:val="24"/>
          <w:szCs w:val="24"/>
          <w:lang w:val="de-DE"/>
        </w:rPr>
        <w:t>durch eine gütliche Einigung</w:t>
      </w:r>
      <w:r w:rsidRPr="00941D80">
        <w:rPr>
          <w:rFonts w:ascii="Arial" w:hAnsi="Arial"/>
          <w:sz w:val="24"/>
          <w:szCs w:val="24"/>
          <w:lang w:val="de-DE"/>
        </w:rPr>
        <w:t xml:space="preserve">. </w:t>
      </w:r>
    </w:p>
    <w:p w:rsidR="005F0AC9" w:rsidRPr="00941D80" w:rsidRDefault="004633E5" w:rsidP="00F765F3">
      <w:pPr>
        <w:spacing w:line="360" w:lineRule="auto"/>
        <w:rPr>
          <w:rFonts w:ascii="Arial" w:hAnsi="Arial"/>
          <w:sz w:val="24"/>
          <w:szCs w:val="24"/>
          <w:lang w:val="de-DE"/>
        </w:rPr>
      </w:pPr>
      <w:r>
        <w:rPr>
          <w:rFonts w:ascii="Arial" w:hAnsi="Arial"/>
          <w:sz w:val="24"/>
          <w:szCs w:val="24"/>
          <w:lang w:val="de-DE"/>
        </w:rPr>
        <w:t xml:space="preserve">Aus diesem positiven Ergebnis haben sich Zahlungen von insgesamt </w:t>
      </w:r>
      <w:r w:rsidRPr="00941D80">
        <w:rPr>
          <w:rFonts w:ascii="Verdana" w:hAnsi="Verdana"/>
          <w:lang w:val="de-DE"/>
        </w:rPr>
        <w:t xml:space="preserve">897125 </w:t>
      </w:r>
      <w:r>
        <w:rPr>
          <w:rFonts w:ascii="Verdana" w:hAnsi="Verdana"/>
          <w:lang w:val="de-DE"/>
        </w:rPr>
        <w:t>E</w:t>
      </w:r>
      <w:r w:rsidRPr="00941D80">
        <w:rPr>
          <w:rFonts w:ascii="Verdana" w:hAnsi="Verdana"/>
          <w:lang w:val="de-DE"/>
        </w:rPr>
        <w:t>uro</w:t>
      </w:r>
      <w:r>
        <w:rPr>
          <w:rFonts w:ascii="Verdana" w:hAnsi="Verdana"/>
          <w:lang w:val="de-DE"/>
        </w:rPr>
        <w:t xml:space="preserve"> in Form von </w:t>
      </w:r>
      <w:r>
        <w:rPr>
          <w:rFonts w:ascii="Arial" w:hAnsi="Arial"/>
          <w:b/>
          <w:sz w:val="24"/>
          <w:szCs w:val="24"/>
          <w:lang w:val="de-DE"/>
        </w:rPr>
        <w:t xml:space="preserve">finanziellen </w:t>
      </w:r>
      <w:r>
        <w:rPr>
          <w:rFonts w:ascii="Arial" w:hAnsi="Arial"/>
          <w:b/>
          <w:sz w:val="24"/>
          <w:szCs w:val="24"/>
          <w:lang w:val="de-DE"/>
        </w:rPr>
        <w:tab/>
        <w:t>Ausgleichszahlungen</w:t>
      </w:r>
      <w:r w:rsidRPr="00941D80">
        <w:rPr>
          <w:rFonts w:ascii="Arial" w:hAnsi="Arial"/>
          <w:sz w:val="24"/>
          <w:szCs w:val="24"/>
          <w:lang w:val="de-DE"/>
        </w:rPr>
        <w:t xml:space="preserve"> o</w:t>
      </w:r>
      <w:r>
        <w:rPr>
          <w:rFonts w:ascii="Arial" w:hAnsi="Arial"/>
          <w:sz w:val="24"/>
          <w:szCs w:val="24"/>
          <w:lang w:val="de-DE"/>
        </w:rPr>
        <w:t xml:space="preserve">der Berichtigungen </w:t>
      </w:r>
      <w:r>
        <w:rPr>
          <w:rFonts w:ascii="Arial" w:hAnsi="Arial"/>
          <w:sz w:val="24"/>
          <w:szCs w:val="24"/>
          <w:lang w:val="de-DE"/>
        </w:rPr>
        <w:t>ergeben</w:t>
      </w:r>
      <w:r w:rsidRPr="00941D80">
        <w:rPr>
          <w:rFonts w:ascii="Arial" w:hAnsi="Arial"/>
          <w:sz w:val="24"/>
          <w:szCs w:val="24"/>
          <w:lang w:val="de-DE"/>
        </w:rPr>
        <w:t xml:space="preserve">, </w:t>
      </w:r>
      <w:r>
        <w:rPr>
          <w:rFonts w:ascii="Arial" w:hAnsi="Arial"/>
          <w:sz w:val="24"/>
          <w:szCs w:val="24"/>
          <w:lang w:val="de-DE"/>
        </w:rPr>
        <w:t>d.h. ein Durchschnitt von</w:t>
      </w:r>
      <w:r w:rsidRPr="00941D80">
        <w:rPr>
          <w:rFonts w:ascii="Arial" w:hAnsi="Arial"/>
          <w:b/>
          <w:sz w:val="24"/>
          <w:szCs w:val="24"/>
          <w:lang w:val="de-DE"/>
        </w:rPr>
        <w:t xml:space="preserve"> 438 </w:t>
      </w:r>
      <w:r>
        <w:rPr>
          <w:rFonts w:ascii="Arial" w:hAnsi="Arial"/>
          <w:b/>
          <w:sz w:val="24"/>
          <w:szCs w:val="24"/>
          <w:lang w:val="de-DE"/>
        </w:rPr>
        <w:t>E</w:t>
      </w:r>
      <w:r w:rsidRPr="00941D80">
        <w:rPr>
          <w:rFonts w:ascii="Arial" w:hAnsi="Arial"/>
          <w:b/>
          <w:sz w:val="24"/>
          <w:szCs w:val="24"/>
          <w:lang w:val="de-DE"/>
        </w:rPr>
        <w:t>uro p</w:t>
      </w:r>
      <w:r>
        <w:rPr>
          <w:rFonts w:ascii="Arial" w:hAnsi="Arial"/>
          <w:b/>
          <w:sz w:val="24"/>
          <w:szCs w:val="24"/>
          <w:lang w:val="de-DE"/>
        </w:rPr>
        <w:t>ro zulässiger Beschwerde, die 2014 abgeschlossen wurde</w:t>
      </w:r>
      <w:r w:rsidRPr="00941D80">
        <w:rPr>
          <w:rFonts w:ascii="Arial" w:hAnsi="Arial"/>
          <w:sz w:val="24"/>
          <w:szCs w:val="24"/>
          <w:lang w:val="de-DE"/>
        </w:rPr>
        <w:t>.</w:t>
      </w:r>
    </w:p>
    <w:p w:rsidR="005F0AC9" w:rsidRPr="00941D80" w:rsidRDefault="004633E5" w:rsidP="00F765F3">
      <w:pPr>
        <w:pStyle w:val="Lijstalinea1"/>
        <w:tabs>
          <w:tab w:val="left" w:pos="851"/>
        </w:tabs>
        <w:spacing w:line="360" w:lineRule="auto"/>
        <w:ind w:left="0"/>
        <w:rPr>
          <w:rFonts w:ascii="Arial" w:hAnsi="Arial" w:cs="Arial"/>
          <w:noProof/>
          <w:sz w:val="24"/>
          <w:szCs w:val="24"/>
          <w:lang w:val="de-DE"/>
        </w:rPr>
      </w:pPr>
    </w:p>
    <w:p w:rsidR="005F0AC9" w:rsidRPr="00941D80" w:rsidRDefault="004633E5" w:rsidP="00F765F3">
      <w:pPr>
        <w:pStyle w:val="Lijstalinea1"/>
        <w:tabs>
          <w:tab w:val="left" w:pos="851"/>
        </w:tabs>
        <w:spacing w:line="360" w:lineRule="auto"/>
        <w:ind w:left="0"/>
        <w:rPr>
          <w:rFonts w:ascii="Arial" w:hAnsi="Arial" w:cs="Arial"/>
          <w:sz w:val="24"/>
          <w:szCs w:val="24"/>
          <w:lang w:val="de-DE"/>
        </w:rPr>
      </w:pPr>
      <w:r>
        <w:rPr>
          <w:rFonts w:ascii="Arial" w:hAnsi="Arial" w:cs="Arial"/>
          <w:noProof/>
          <w:sz w:val="24"/>
          <w:szCs w:val="24"/>
          <w:lang w:val="de-DE"/>
        </w:rPr>
        <w:t xml:space="preserve">Insgesamt hat der Ombudsdienst </w:t>
      </w:r>
      <w:r w:rsidRPr="00941D80">
        <w:rPr>
          <w:rFonts w:ascii="Arial" w:hAnsi="Arial" w:cs="Arial"/>
          <w:noProof/>
          <w:sz w:val="24"/>
          <w:szCs w:val="24"/>
          <w:lang w:val="de-DE"/>
        </w:rPr>
        <w:t>52</w:t>
      </w:r>
      <w:r w:rsidRPr="00941D80">
        <w:rPr>
          <w:rFonts w:ascii="Arial" w:hAnsi="Arial" w:cs="Arial"/>
          <w:b/>
          <w:noProof/>
          <w:sz w:val="24"/>
          <w:szCs w:val="24"/>
          <w:lang w:val="de-DE"/>
        </w:rPr>
        <w:t xml:space="preserve"> </w:t>
      </w:r>
      <w:r>
        <w:rPr>
          <w:rFonts w:ascii="Arial" w:hAnsi="Arial" w:cs="Arial"/>
          <w:b/>
          <w:noProof/>
          <w:sz w:val="24"/>
          <w:szCs w:val="24"/>
          <w:lang w:val="de-DE"/>
        </w:rPr>
        <w:t>Empfehlungen</w:t>
      </w:r>
      <w:r w:rsidRPr="00941D80">
        <w:rPr>
          <w:rFonts w:ascii="Arial" w:hAnsi="Arial" w:cs="Arial"/>
          <w:noProof/>
          <w:sz w:val="24"/>
          <w:szCs w:val="24"/>
          <w:lang w:val="de-DE"/>
        </w:rPr>
        <w:t xml:space="preserve"> </w:t>
      </w:r>
      <w:r>
        <w:rPr>
          <w:rFonts w:ascii="Arial" w:hAnsi="Arial" w:cs="Arial"/>
          <w:noProof/>
          <w:sz w:val="24"/>
          <w:szCs w:val="24"/>
          <w:lang w:val="de-DE"/>
        </w:rPr>
        <w:t xml:space="preserve">zu folgenden </w:t>
      </w:r>
      <w:r>
        <w:rPr>
          <w:rFonts w:ascii="Arial" w:hAnsi="Arial" w:cs="Arial"/>
          <w:noProof/>
          <w:sz w:val="24"/>
          <w:szCs w:val="24"/>
          <w:lang w:val="de-DE"/>
        </w:rPr>
        <w:t xml:space="preserve">Bereichen </w:t>
      </w:r>
      <w:r>
        <w:rPr>
          <w:rFonts w:ascii="Arial" w:hAnsi="Arial" w:cs="Arial"/>
          <w:noProof/>
          <w:sz w:val="24"/>
          <w:szCs w:val="24"/>
          <w:lang w:val="de-DE"/>
        </w:rPr>
        <w:t>ausgesprochen</w:t>
      </w:r>
      <w:r w:rsidRPr="00941D80">
        <w:rPr>
          <w:rFonts w:ascii="Arial" w:hAnsi="Arial" w:cs="Arial"/>
          <w:noProof/>
          <w:sz w:val="24"/>
          <w:szCs w:val="24"/>
          <w:lang w:val="de-DE"/>
        </w:rPr>
        <w:t>:</w:t>
      </w:r>
    </w:p>
    <w:p w:rsidR="005F0AC9" w:rsidRPr="00941D80" w:rsidRDefault="004633E5" w:rsidP="00F765F3">
      <w:pPr>
        <w:pStyle w:val="Lijstalinea1"/>
        <w:numPr>
          <w:ilvl w:val="0"/>
          <w:numId w:val="14"/>
        </w:numPr>
        <w:tabs>
          <w:tab w:val="left" w:pos="851"/>
        </w:tabs>
        <w:spacing w:line="360" w:lineRule="auto"/>
        <w:ind w:left="357" w:hanging="357"/>
        <w:rPr>
          <w:rFonts w:ascii="Arial" w:hAnsi="Arial" w:cs="Arial"/>
          <w:noProof/>
          <w:sz w:val="24"/>
          <w:szCs w:val="24"/>
          <w:lang w:val="de-DE"/>
        </w:rPr>
      </w:pPr>
      <w:r>
        <w:rPr>
          <w:rFonts w:ascii="Arial" w:hAnsi="Arial" w:cs="Arial"/>
          <w:noProof/>
          <w:sz w:val="24"/>
          <w:szCs w:val="24"/>
          <w:lang w:val="de-DE"/>
        </w:rPr>
        <w:t xml:space="preserve">die Verlängerung der Vertragsbedinungen der Energieverträge mit </w:t>
      </w:r>
      <w:r>
        <w:rPr>
          <w:rFonts w:ascii="Arial" w:hAnsi="Arial" w:cs="Arial"/>
          <w:noProof/>
          <w:sz w:val="24"/>
          <w:szCs w:val="24"/>
          <w:lang w:val="de-DE"/>
        </w:rPr>
        <w:t>Anwendung eines höheren Energiepreises;</w:t>
      </w:r>
    </w:p>
    <w:p w:rsidR="005F0AC9" w:rsidRPr="00941D80" w:rsidRDefault="004633E5" w:rsidP="00F765F3">
      <w:pPr>
        <w:pStyle w:val="Lijstalinea1"/>
        <w:numPr>
          <w:ilvl w:val="0"/>
          <w:numId w:val="14"/>
        </w:numPr>
        <w:tabs>
          <w:tab w:val="left" w:pos="851"/>
        </w:tabs>
        <w:spacing w:line="360" w:lineRule="auto"/>
        <w:ind w:left="357" w:hanging="357"/>
        <w:rPr>
          <w:rFonts w:ascii="Arial" w:hAnsi="Arial" w:cs="Arial"/>
          <w:noProof/>
          <w:sz w:val="24"/>
          <w:szCs w:val="24"/>
          <w:lang w:val="de-DE"/>
        </w:rPr>
      </w:pPr>
      <w:r>
        <w:rPr>
          <w:rFonts w:ascii="Arial" w:hAnsi="Arial" w:cs="Arial"/>
          <w:noProof/>
          <w:sz w:val="24"/>
          <w:szCs w:val="24"/>
          <w:lang w:val="de-DE"/>
        </w:rPr>
        <w:t>Sozialtarife für Gas und Strom</w:t>
      </w:r>
      <w:r w:rsidRPr="00941D80">
        <w:rPr>
          <w:rFonts w:ascii="Arial" w:hAnsi="Arial" w:cs="Arial"/>
          <w:noProof/>
          <w:sz w:val="24"/>
          <w:szCs w:val="24"/>
          <w:lang w:val="de-DE"/>
        </w:rPr>
        <w:t>;</w:t>
      </w:r>
    </w:p>
    <w:p w:rsidR="005F0AC9" w:rsidRPr="00941D80" w:rsidRDefault="004633E5" w:rsidP="00F765F3">
      <w:pPr>
        <w:pStyle w:val="Lijstalinea1"/>
        <w:numPr>
          <w:ilvl w:val="0"/>
          <w:numId w:val="14"/>
        </w:numPr>
        <w:tabs>
          <w:tab w:val="left" w:pos="851"/>
        </w:tabs>
        <w:spacing w:line="360" w:lineRule="auto"/>
        <w:ind w:left="357" w:hanging="357"/>
        <w:rPr>
          <w:rFonts w:ascii="Arial" w:hAnsi="Arial" w:cs="Arial"/>
          <w:noProof/>
          <w:sz w:val="24"/>
          <w:szCs w:val="24"/>
          <w:lang w:val="de-DE"/>
        </w:rPr>
      </w:pPr>
      <w:r>
        <w:rPr>
          <w:rFonts w:ascii="Arial" w:hAnsi="Arial" w:cs="Arial"/>
          <w:noProof/>
          <w:sz w:val="24"/>
          <w:szCs w:val="24"/>
          <w:lang w:val="de-DE"/>
        </w:rPr>
        <w:t>die Abrechnung des Energieverbrauchs ohne Vertragsabschluss mit einem kommerziellen Anbieter;</w:t>
      </w:r>
    </w:p>
    <w:p w:rsidR="00B14372" w:rsidRDefault="004633E5" w:rsidP="00F765F3">
      <w:pPr>
        <w:pStyle w:val="Lijstalinea1"/>
        <w:numPr>
          <w:ilvl w:val="0"/>
          <w:numId w:val="14"/>
        </w:numPr>
        <w:tabs>
          <w:tab w:val="left" w:pos="851"/>
        </w:tabs>
        <w:spacing w:before="100" w:beforeAutospacing="1" w:after="100" w:afterAutospacing="1" w:line="360" w:lineRule="auto"/>
        <w:ind w:left="357" w:hanging="357"/>
        <w:rPr>
          <w:rFonts w:ascii="Arial" w:hAnsi="Arial" w:cs="Arial"/>
          <w:noProof/>
          <w:sz w:val="24"/>
          <w:szCs w:val="24"/>
          <w:lang w:val="de-DE"/>
        </w:rPr>
      </w:pPr>
      <w:r>
        <w:rPr>
          <w:rFonts w:ascii="Arial" w:hAnsi="Arial" w:cs="Arial"/>
          <w:noProof/>
          <w:sz w:val="24"/>
          <w:szCs w:val="24"/>
          <w:lang w:val="de-DE"/>
        </w:rPr>
        <w:t>die verspätete Abrechnung des Energieverbrauchs</w:t>
      </w:r>
      <w:r w:rsidRPr="00941D80">
        <w:rPr>
          <w:rFonts w:ascii="Arial" w:hAnsi="Arial" w:cs="Arial"/>
          <w:noProof/>
          <w:sz w:val="24"/>
          <w:szCs w:val="24"/>
          <w:lang w:val="de-DE"/>
        </w:rPr>
        <w:t>;</w:t>
      </w:r>
    </w:p>
    <w:p w:rsidR="005F0AC9" w:rsidRPr="00941D80" w:rsidRDefault="004633E5" w:rsidP="00F765F3">
      <w:pPr>
        <w:pStyle w:val="Lijstalinea1"/>
        <w:numPr>
          <w:ilvl w:val="0"/>
          <w:numId w:val="14"/>
        </w:numPr>
        <w:tabs>
          <w:tab w:val="left" w:pos="851"/>
        </w:tabs>
        <w:spacing w:before="100" w:beforeAutospacing="1" w:after="100" w:afterAutospacing="1" w:line="360" w:lineRule="auto"/>
        <w:ind w:left="357" w:hanging="357"/>
        <w:rPr>
          <w:rFonts w:ascii="Arial" w:hAnsi="Arial" w:cs="Arial"/>
          <w:noProof/>
          <w:sz w:val="24"/>
          <w:szCs w:val="24"/>
          <w:lang w:val="de-DE"/>
        </w:rPr>
      </w:pPr>
      <w:r>
        <w:rPr>
          <w:rFonts w:ascii="Arial" w:hAnsi="Arial" w:cs="Arial"/>
          <w:noProof/>
          <w:sz w:val="24"/>
          <w:szCs w:val="24"/>
          <w:lang w:val="de-DE"/>
        </w:rPr>
        <w:t>die Berichtigung von Ablesungen durch die</w:t>
      </w:r>
      <w:r>
        <w:rPr>
          <w:rFonts w:ascii="Arial" w:hAnsi="Arial" w:cs="Arial"/>
          <w:noProof/>
          <w:sz w:val="24"/>
          <w:szCs w:val="24"/>
          <w:lang w:val="de-DE"/>
        </w:rPr>
        <w:t xml:space="preserve"> Verteilernetzbetreiber</w:t>
      </w:r>
      <w:r w:rsidRPr="00941D80">
        <w:rPr>
          <w:rFonts w:ascii="Arial" w:hAnsi="Arial" w:cs="Arial"/>
          <w:noProof/>
          <w:sz w:val="24"/>
          <w:szCs w:val="24"/>
          <w:lang w:val="de-DE"/>
        </w:rPr>
        <w:t>.</w:t>
      </w:r>
    </w:p>
    <w:p w:rsidR="005F0AC9" w:rsidRPr="00941D80" w:rsidRDefault="004633E5" w:rsidP="00F765F3">
      <w:pPr>
        <w:pStyle w:val="Lijstalinea1"/>
        <w:tabs>
          <w:tab w:val="left" w:pos="851"/>
        </w:tabs>
        <w:spacing w:before="100" w:beforeAutospacing="1" w:after="100" w:afterAutospacing="1" w:line="360" w:lineRule="auto"/>
        <w:ind w:left="357"/>
        <w:rPr>
          <w:rFonts w:ascii="Arial" w:hAnsi="Arial" w:cs="Arial"/>
          <w:noProof/>
          <w:sz w:val="24"/>
          <w:szCs w:val="24"/>
          <w:lang w:val="de-DE"/>
        </w:rPr>
      </w:pPr>
    </w:p>
    <w:p w:rsidR="005F0AC9" w:rsidRPr="00941D80" w:rsidRDefault="004633E5" w:rsidP="00874C00">
      <w:pPr>
        <w:spacing w:line="360" w:lineRule="auto"/>
        <w:rPr>
          <w:rFonts w:ascii="Arial" w:hAnsi="Arial"/>
          <w:sz w:val="24"/>
          <w:szCs w:val="24"/>
          <w:lang w:val="de-DE"/>
        </w:rPr>
      </w:pPr>
      <w:r>
        <w:rPr>
          <w:rFonts w:ascii="Arial" w:hAnsi="Arial"/>
          <w:sz w:val="24"/>
          <w:szCs w:val="24"/>
          <w:lang w:val="de-DE"/>
        </w:rPr>
        <w:t xml:space="preserve">Ende 2014 hat der </w:t>
      </w:r>
      <w:proofErr w:type="spellStart"/>
      <w:r>
        <w:rPr>
          <w:rFonts w:ascii="Arial" w:hAnsi="Arial"/>
          <w:sz w:val="24"/>
          <w:szCs w:val="24"/>
          <w:lang w:val="de-DE"/>
        </w:rPr>
        <w:t>Ombudsdienst</w:t>
      </w:r>
      <w:proofErr w:type="spellEnd"/>
      <w:r>
        <w:rPr>
          <w:rFonts w:ascii="Arial" w:hAnsi="Arial"/>
          <w:sz w:val="24"/>
          <w:szCs w:val="24"/>
          <w:lang w:val="de-DE"/>
        </w:rPr>
        <w:t xml:space="preserve"> ebenfalls ein Memorandum an das </w:t>
      </w:r>
      <w:r>
        <w:rPr>
          <w:rFonts w:ascii="Arial" w:hAnsi="Arial"/>
          <w:sz w:val="24"/>
          <w:szCs w:val="24"/>
          <w:lang w:val="de-DE"/>
        </w:rPr>
        <w:t xml:space="preserve">föderale Energieministerium übergeben mit einigen </w:t>
      </w:r>
      <w:r>
        <w:rPr>
          <w:rFonts w:ascii="Arial" w:hAnsi="Arial"/>
          <w:sz w:val="24"/>
          <w:szCs w:val="24"/>
          <w:lang w:val="de-DE"/>
        </w:rPr>
        <w:t xml:space="preserve">Maßnahmenvorschlägen </w:t>
      </w:r>
      <w:r>
        <w:rPr>
          <w:rFonts w:ascii="Arial" w:hAnsi="Arial"/>
          <w:sz w:val="24"/>
          <w:szCs w:val="24"/>
          <w:lang w:val="de-DE"/>
        </w:rPr>
        <w:t>in Antwort auf eine Reihe von Energiemaßnahmen aus dem föderalen Regierungsabkommen</w:t>
      </w:r>
      <w:r w:rsidRPr="00941D80">
        <w:rPr>
          <w:rFonts w:ascii="Arial" w:hAnsi="Arial"/>
          <w:sz w:val="24"/>
          <w:szCs w:val="24"/>
          <w:lang w:val="de-DE"/>
        </w:rPr>
        <w:t xml:space="preserve"> </w:t>
      </w:r>
      <w:r>
        <w:rPr>
          <w:rFonts w:ascii="Arial" w:hAnsi="Arial"/>
          <w:sz w:val="24"/>
          <w:szCs w:val="24"/>
          <w:lang w:val="de-DE"/>
        </w:rPr>
        <w:t xml:space="preserve">sowie zu einer Reihe von </w:t>
      </w:r>
      <w:r>
        <w:rPr>
          <w:rFonts w:ascii="Arial" w:hAnsi="Arial"/>
          <w:sz w:val="24"/>
          <w:szCs w:val="24"/>
          <w:lang w:val="de-DE"/>
        </w:rPr>
        <w:t>Schwachpunkten auf dem Energiemarkt, die der Dienst seit seiner Gründung im Jahr 2010 festgestellt hat.</w:t>
      </w:r>
    </w:p>
    <w:p w:rsidR="005F0AC9" w:rsidRPr="00941D80" w:rsidRDefault="004633E5" w:rsidP="00874C00">
      <w:pPr>
        <w:spacing w:line="360" w:lineRule="auto"/>
        <w:rPr>
          <w:rFonts w:ascii="Arial" w:hAnsi="Arial"/>
          <w:sz w:val="24"/>
          <w:szCs w:val="24"/>
          <w:lang w:val="de-DE"/>
        </w:rPr>
      </w:pPr>
      <w:r>
        <w:rPr>
          <w:rFonts w:ascii="Arial" w:hAnsi="Arial"/>
          <w:sz w:val="24"/>
          <w:szCs w:val="24"/>
          <w:lang w:val="de-DE"/>
        </w:rPr>
        <w:t>Dabei handelt es sich um Folgendes</w:t>
      </w:r>
      <w:r w:rsidRPr="00941D80">
        <w:rPr>
          <w:rFonts w:ascii="Arial" w:hAnsi="Arial"/>
          <w:sz w:val="24"/>
          <w:szCs w:val="24"/>
          <w:lang w:val="de-DE"/>
        </w:rPr>
        <w:t>:</w:t>
      </w:r>
    </w:p>
    <w:p w:rsidR="005F0AC9" w:rsidRPr="00941D80" w:rsidRDefault="004633E5" w:rsidP="00874C00">
      <w:pPr>
        <w:spacing w:line="360" w:lineRule="auto"/>
        <w:jc w:val="both"/>
        <w:rPr>
          <w:lang w:val="de-DE"/>
        </w:rPr>
      </w:pPr>
      <w:r w:rsidRPr="00941D80">
        <w:rPr>
          <w:rFonts w:ascii="Arial" w:hAnsi="Arial"/>
          <w:sz w:val="24"/>
          <w:szCs w:val="24"/>
          <w:lang w:val="de-DE"/>
        </w:rPr>
        <w:t xml:space="preserve">- </w:t>
      </w:r>
      <w:r>
        <w:rPr>
          <w:rFonts w:ascii="Arial" w:hAnsi="Arial"/>
          <w:b/>
          <w:sz w:val="24"/>
          <w:szCs w:val="24"/>
          <w:lang w:val="de-DE"/>
        </w:rPr>
        <w:t>ein verbessertes Recht auf den Sozialtarif</w:t>
      </w:r>
      <w:r w:rsidRPr="00941D80">
        <w:rPr>
          <w:rFonts w:ascii="Arial" w:hAnsi="Arial"/>
          <w:sz w:val="24"/>
          <w:szCs w:val="24"/>
          <w:lang w:val="de-DE"/>
        </w:rPr>
        <w:t xml:space="preserve"> </w:t>
      </w:r>
      <w:r>
        <w:rPr>
          <w:rFonts w:ascii="Arial" w:hAnsi="Arial"/>
          <w:sz w:val="24"/>
          <w:szCs w:val="24"/>
          <w:lang w:val="de-DE"/>
        </w:rPr>
        <w:t>für Gas und Strom, indem der Zugang auf alle N</w:t>
      </w:r>
      <w:r>
        <w:rPr>
          <w:rFonts w:ascii="Arial" w:hAnsi="Arial"/>
          <w:sz w:val="24"/>
          <w:szCs w:val="24"/>
          <w:lang w:val="de-DE"/>
        </w:rPr>
        <w:t>utznießer einer erhöhten Beteiligung im Rahmen ihrer Krankenversicherung und alle Personen ausgeweitet wird, die sich in einem Verfahren der kollektiven Schuldenregelung befinden oder die die Hilfe eines anerkannten Schuldnerberatungsdienstes in Anspruch n</w:t>
      </w:r>
      <w:r>
        <w:rPr>
          <w:rFonts w:ascii="Arial" w:hAnsi="Arial"/>
          <w:sz w:val="24"/>
          <w:szCs w:val="24"/>
          <w:lang w:val="de-DE"/>
        </w:rPr>
        <w:t>ehmen</w:t>
      </w:r>
      <w:r w:rsidRPr="00941D80">
        <w:rPr>
          <w:lang w:val="de-DE"/>
        </w:rPr>
        <w:t>.</w:t>
      </w:r>
    </w:p>
    <w:p w:rsidR="005F0AC9" w:rsidRPr="00941D80" w:rsidRDefault="004633E5" w:rsidP="00874C00">
      <w:pPr>
        <w:spacing w:line="360" w:lineRule="auto"/>
        <w:rPr>
          <w:rFonts w:ascii="Arial" w:hAnsi="Arial"/>
          <w:sz w:val="24"/>
          <w:szCs w:val="24"/>
          <w:lang w:val="de-DE"/>
        </w:rPr>
      </w:pPr>
      <w:r>
        <w:rPr>
          <w:rFonts w:ascii="Arial" w:hAnsi="Arial"/>
          <w:sz w:val="24"/>
          <w:szCs w:val="24"/>
          <w:lang w:val="de-DE"/>
        </w:rPr>
        <w:t xml:space="preserve">Derzeit ist dieses Recht Personen mit einer Behinderung, die eine Beihilfe erhalten, Rentnern mit einer Zulage zur Gewährleistung des Einkommens sowie Haushalten </w:t>
      </w:r>
      <w:r>
        <w:rPr>
          <w:rFonts w:ascii="Arial" w:hAnsi="Arial"/>
          <w:sz w:val="24"/>
          <w:szCs w:val="24"/>
          <w:lang w:val="de-DE"/>
        </w:rPr>
        <w:t>mit einem Sozialeingliederungseinkommen vorbehalten. 8,5% aller Familien sind betroffen</w:t>
      </w:r>
      <w:r>
        <w:rPr>
          <w:rFonts w:ascii="Arial" w:hAnsi="Arial"/>
          <w:sz w:val="24"/>
          <w:szCs w:val="24"/>
          <w:lang w:val="de-DE"/>
        </w:rPr>
        <w:t xml:space="preserve"> (</w:t>
      </w:r>
      <w:r w:rsidRPr="00941D80">
        <w:rPr>
          <w:rFonts w:ascii="Arial" w:hAnsi="Arial"/>
          <w:sz w:val="24"/>
          <w:szCs w:val="24"/>
          <w:lang w:val="de-DE"/>
        </w:rPr>
        <w:t xml:space="preserve">460.000 </w:t>
      </w:r>
      <w:r>
        <w:rPr>
          <w:rFonts w:ascii="Arial" w:hAnsi="Arial"/>
          <w:sz w:val="24"/>
          <w:szCs w:val="24"/>
          <w:lang w:val="de-DE"/>
        </w:rPr>
        <w:t>Haushalte haben Anrecht auf den Sozialtarif, darunter 2</w:t>
      </w:r>
      <w:r w:rsidRPr="00941D80">
        <w:rPr>
          <w:rFonts w:ascii="Arial" w:hAnsi="Arial"/>
          <w:sz w:val="24"/>
          <w:szCs w:val="24"/>
          <w:lang w:val="de-DE"/>
        </w:rPr>
        <w:t>55.000</w:t>
      </w:r>
      <w:r>
        <w:rPr>
          <w:rFonts w:ascii="Arial" w:hAnsi="Arial"/>
          <w:sz w:val="24"/>
          <w:szCs w:val="24"/>
          <w:lang w:val="de-DE"/>
        </w:rPr>
        <w:t xml:space="preserve"> für Gas</w:t>
      </w:r>
      <w:r w:rsidRPr="00941D80">
        <w:rPr>
          <w:rFonts w:ascii="Arial" w:hAnsi="Arial"/>
          <w:sz w:val="24"/>
          <w:szCs w:val="24"/>
          <w:lang w:val="de-DE"/>
        </w:rPr>
        <w:t>).</w:t>
      </w:r>
    </w:p>
    <w:p w:rsidR="005F0AC9" w:rsidRPr="00941D80" w:rsidRDefault="004633E5" w:rsidP="00874C00">
      <w:pPr>
        <w:spacing w:line="360" w:lineRule="auto"/>
        <w:rPr>
          <w:rFonts w:ascii="Arial" w:hAnsi="Arial"/>
          <w:sz w:val="24"/>
          <w:szCs w:val="24"/>
          <w:lang w:val="de-DE"/>
        </w:rPr>
      </w:pPr>
      <w:r>
        <w:rPr>
          <w:rFonts w:ascii="Arial" w:hAnsi="Arial"/>
          <w:sz w:val="24"/>
          <w:szCs w:val="24"/>
          <w:lang w:val="de-DE"/>
        </w:rPr>
        <w:t xml:space="preserve">Durch eine Ausweitung des Zugangs </w:t>
      </w:r>
      <w:r>
        <w:rPr>
          <w:rFonts w:ascii="Arial" w:hAnsi="Arial"/>
          <w:sz w:val="24"/>
          <w:szCs w:val="24"/>
          <w:lang w:val="de-DE"/>
        </w:rPr>
        <w:t>zum Recht auf den Sozialtarif kö</w:t>
      </w:r>
      <w:r>
        <w:rPr>
          <w:rFonts w:ascii="Arial" w:hAnsi="Arial"/>
          <w:sz w:val="24"/>
          <w:szCs w:val="24"/>
          <w:lang w:val="de-DE"/>
        </w:rPr>
        <w:t>nnten eine Million sozial schwacher Familien in den Genuss von sozialen Energiepreisen gelangen. Dies entspr</w:t>
      </w:r>
      <w:r>
        <w:rPr>
          <w:rFonts w:ascii="Arial" w:hAnsi="Arial"/>
          <w:sz w:val="24"/>
          <w:szCs w:val="24"/>
          <w:lang w:val="de-DE"/>
        </w:rPr>
        <w:t>icht der Anzahl Familien in Belgien, die von Armut bedroht sind (</w:t>
      </w:r>
      <w:r w:rsidRPr="00941D80">
        <w:rPr>
          <w:rFonts w:ascii="Arial" w:hAnsi="Arial"/>
          <w:sz w:val="24"/>
          <w:szCs w:val="24"/>
          <w:lang w:val="de-DE"/>
        </w:rPr>
        <w:t>20 % de</w:t>
      </w:r>
      <w:r>
        <w:rPr>
          <w:rFonts w:ascii="Arial" w:hAnsi="Arial"/>
          <w:sz w:val="24"/>
          <w:szCs w:val="24"/>
          <w:lang w:val="de-DE"/>
        </w:rPr>
        <w:t>r Familien in Belgien</w:t>
      </w:r>
      <w:r w:rsidRPr="00941D80">
        <w:rPr>
          <w:rFonts w:ascii="Arial" w:hAnsi="Arial"/>
          <w:sz w:val="24"/>
          <w:szCs w:val="24"/>
          <w:lang w:val="de-DE"/>
        </w:rPr>
        <w:t xml:space="preserve">). </w:t>
      </w:r>
    </w:p>
    <w:p w:rsidR="005F0AC9" w:rsidRPr="00941D80" w:rsidRDefault="004633E5" w:rsidP="00874C00">
      <w:pPr>
        <w:spacing w:line="360" w:lineRule="auto"/>
        <w:rPr>
          <w:rFonts w:ascii="Arial" w:hAnsi="Arial"/>
          <w:sz w:val="24"/>
          <w:szCs w:val="24"/>
          <w:lang w:val="de-DE"/>
        </w:rPr>
      </w:pPr>
      <w:r w:rsidRPr="00941D80">
        <w:rPr>
          <w:rFonts w:ascii="Arial" w:hAnsi="Arial"/>
          <w:sz w:val="24"/>
          <w:szCs w:val="24"/>
          <w:lang w:val="de-DE"/>
        </w:rPr>
        <w:t xml:space="preserve">- </w:t>
      </w:r>
      <w:r>
        <w:rPr>
          <w:rFonts w:ascii="Arial" w:hAnsi="Arial"/>
          <w:sz w:val="24"/>
          <w:szCs w:val="24"/>
          <w:lang w:val="de-DE"/>
        </w:rPr>
        <w:t>die</w:t>
      </w:r>
      <w:r w:rsidRPr="00941D80">
        <w:rPr>
          <w:rFonts w:ascii="Arial" w:hAnsi="Arial"/>
          <w:sz w:val="24"/>
          <w:szCs w:val="24"/>
          <w:lang w:val="de-DE"/>
        </w:rPr>
        <w:t xml:space="preserve"> </w:t>
      </w:r>
      <w:r>
        <w:rPr>
          <w:rFonts w:ascii="Arial" w:hAnsi="Arial"/>
          <w:b/>
          <w:sz w:val="24"/>
          <w:szCs w:val="24"/>
          <w:lang w:val="de-DE"/>
        </w:rPr>
        <w:t>Stärkung des Verbraucherabkommens und seine Ausweitung auf KMU</w:t>
      </w:r>
      <w:r w:rsidRPr="00941D80">
        <w:rPr>
          <w:rFonts w:ascii="Arial" w:hAnsi="Arial"/>
          <w:b/>
          <w:sz w:val="24"/>
          <w:szCs w:val="24"/>
          <w:lang w:val="de-DE"/>
        </w:rPr>
        <w:t xml:space="preserve"> </w:t>
      </w:r>
      <w:r w:rsidRPr="00941D80">
        <w:rPr>
          <w:rFonts w:ascii="Arial" w:hAnsi="Arial"/>
          <w:sz w:val="24"/>
          <w:szCs w:val="24"/>
          <w:lang w:val="de-DE"/>
        </w:rPr>
        <w:t>(</w:t>
      </w:r>
      <w:r>
        <w:rPr>
          <w:rFonts w:ascii="Arial" w:hAnsi="Arial"/>
          <w:sz w:val="24"/>
          <w:szCs w:val="24"/>
          <w:lang w:val="de-DE"/>
        </w:rPr>
        <w:t xml:space="preserve">Endverbraucher mit einem Jahresverbrauch von </w:t>
      </w:r>
      <w:r>
        <w:rPr>
          <w:rFonts w:ascii="Arial" w:hAnsi="Arial"/>
          <w:sz w:val="24"/>
          <w:szCs w:val="24"/>
          <w:lang w:val="de-DE"/>
        </w:rPr>
        <w:t>höchstens</w:t>
      </w:r>
      <w:r w:rsidRPr="00941D80">
        <w:rPr>
          <w:rFonts w:ascii="Arial" w:hAnsi="Arial"/>
          <w:sz w:val="24"/>
          <w:szCs w:val="24"/>
          <w:lang w:val="de-DE"/>
        </w:rPr>
        <w:t xml:space="preserve"> 100.000 kWh </w:t>
      </w:r>
      <w:r>
        <w:rPr>
          <w:rFonts w:ascii="Arial" w:hAnsi="Arial"/>
          <w:sz w:val="24"/>
          <w:szCs w:val="24"/>
          <w:lang w:val="de-DE"/>
        </w:rPr>
        <w:t>Gas und von m</w:t>
      </w:r>
      <w:r w:rsidRPr="00941D80">
        <w:rPr>
          <w:rFonts w:ascii="Arial" w:hAnsi="Arial"/>
          <w:sz w:val="24"/>
          <w:szCs w:val="24"/>
          <w:lang w:val="de-DE"/>
        </w:rPr>
        <w:t xml:space="preserve">ax. 50.000 kWh </w:t>
      </w:r>
      <w:r>
        <w:rPr>
          <w:rFonts w:ascii="Arial" w:hAnsi="Arial"/>
          <w:sz w:val="24"/>
          <w:szCs w:val="24"/>
          <w:lang w:val="de-DE"/>
        </w:rPr>
        <w:t>Strom</w:t>
      </w:r>
      <w:r w:rsidRPr="00941D80">
        <w:rPr>
          <w:rFonts w:ascii="Arial" w:hAnsi="Arial"/>
          <w:sz w:val="24"/>
          <w:szCs w:val="24"/>
          <w:lang w:val="de-DE"/>
        </w:rPr>
        <w:t>).</w:t>
      </w:r>
    </w:p>
    <w:p w:rsidR="005F0AC9" w:rsidRPr="00941D80" w:rsidRDefault="004633E5" w:rsidP="00874C00">
      <w:pPr>
        <w:spacing w:line="360" w:lineRule="auto"/>
        <w:rPr>
          <w:rFonts w:ascii="Arial" w:hAnsi="Arial"/>
          <w:b/>
          <w:sz w:val="24"/>
          <w:szCs w:val="24"/>
          <w:lang w:val="de-DE"/>
        </w:rPr>
      </w:pPr>
      <w:r w:rsidRPr="00941D80">
        <w:rPr>
          <w:rFonts w:ascii="Arial" w:hAnsi="Arial"/>
          <w:sz w:val="24"/>
          <w:szCs w:val="24"/>
          <w:lang w:val="de-DE"/>
        </w:rPr>
        <w:t xml:space="preserve">- </w:t>
      </w:r>
      <w:r>
        <w:rPr>
          <w:rFonts w:ascii="Arial" w:hAnsi="Arial"/>
          <w:sz w:val="24"/>
          <w:szCs w:val="24"/>
          <w:lang w:val="de-DE"/>
        </w:rPr>
        <w:t>ein</w:t>
      </w:r>
      <w:r w:rsidRPr="00941D80">
        <w:rPr>
          <w:rFonts w:ascii="Arial" w:hAnsi="Arial"/>
          <w:sz w:val="24"/>
          <w:szCs w:val="24"/>
          <w:lang w:val="de-DE"/>
        </w:rPr>
        <w:t xml:space="preserve"> </w:t>
      </w:r>
      <w:r>
        <w:rPr>
          <w:rFonts w:ascii="Arial" w:hAnsi="Arial"/>
          <w:b/>
          <w:sz w:val="24"/>
          <w:szCs w:val="24"/>
          <w:lang w:val="de-DE"/>
        </w:rPr>
        <w:t>Verbot von Haustürgeschäften für Energieverträge</w:t>
      </w:r>
      <w:r w:rsidRPr="00941D80">
        <w:rPr>
          <w:rFonts w:ascii="Arial" w:hAnsi="Arial"/>
          <w:b/>
          <w:sz w:val="24"/>
          <w:szCs w:val="24"/>
          <w:lang w:val="de-DE"/>
        </w:rPr>
        <w:t xml:space="preserve"> </w:t>
      </w:r>
      <w:r>
        <w:rPr>
          <w:rFonts w:ascii="Arial" w:hAnsi="Arial"/>
          <w:sz w:val="24"/>
          <w:szCs w:val="24"/>
          <w:lang w:val="de-DE"/>
        </w:rPr>
        <w:t>bei Haushaltskunden und KMU</w:t>
      </w:r>
      <w:r w:rsidRPr="00941D80">
        <w:rPr>
          <w:rFonts w:ascii="Arial" w:hAnsi="Arial"/>
          <w:sz w:val="24"/>
          <w:szCs w:val="24"/>
          <w:lang w:val="de-DE"/>
        </w:rPr>
        <w:t>.</w:t>
      </w:r>
    </w:p>
    <w:p w:rsidR="005F0AC9" w:rsidRPr="00941D80" w:rsidRDefault="004633E5" w:rsidP="00874C00">
      <w:pPr>
        <w:spacing w:line="360" w:lineRule="auto"/>
        <w:rPr>
          <w:rFonts w:ascii="Arial" w:hAnsi="Arial"/>
          <w:sz w:val="24"/>
          <w:szCs w:val="24"/>
          <w:lang w:val="de-DE"/>
        </w:rPr>
      </w:pPr>
      <w:r w:rsidRPr="00941D80">
        <w:rPr>
          <w:rFonts w:ascii="Arial" w:hAnsi="Arial"/>
          <w:sz w:val="24"/>
          <w:szCs w:val="24"/>
          <w:lang w:val="de-DE"/>
        </w:rPr>
        <w:t xml:space="preserve">- </w:t>
      </w:r>
      <w:r>
        <w:rPr>
          <w:rFonts w:ascii="Arial" w:hAnsi="Arial"/>
          <w:b/>
          <w:sz w:val="24"/>
          <w:szCs w:val="24"/>
          <w:lang w:val="de-DE"/>
        </w:rPr>
        <w:t xml:space="preserve">eine Ausweitung des Mechanismus des </w:t>
      </w:r>
      <w:r w:rsidRPr="007252CA">
        <w:rPr>
          <w:rFonts w:ascii="Arial" w:hAnsi="Arial"/>
          <w:b/>
          <w:sz w:val="24"/>
          <w:szCs w:val="24"/>
          <w:lang w:val="de-DE"/>
        </w:rPr>
        <w:t>Sicherheitsnetzes</w:t>
      </w:r>
      <w:r>
        <w:rPr>
          <w:rFonts w:ascii="Arial" w:hAnsi="Arial"/>
          <w:sz w:val="24"/>
          <w:szCs w:val="24"/>
          <w:lang w:val="de-DE"/>
        </w:rPr>
        <w:t xml:space="preserve"> für variable Energiepreise und Ausweitung auf Energieprodukte mit einer festen Energiekompone</w:t>
      </w:r>
      <w:r>
        <w:rPr>
          <w:rFonts w:ascii="Arial" w:hAnsi="Arial"/>
          <w:sz w:val="24"/>
          <w:szCs w:val="24"/>
          <w:lang w:val="de-DE"/>
        </w:rPr>
        <w:t>nte</w:t>
      </w:r>
      <w:r w:rsidRPr="00941D80">
        <w:rPr>
          <w:rFonts w:ascii="Arial" w:hAnsi="Arial"/>
          <w:sz w:val="24"/>
          <w:szCs w:val="24"/>
          <w:lang w:val="de-DE"/>
        </w:rPr>
        <w:t xml:space="preserve">.  </w:t>
      </w:r>
    </w:p>
    <w:p w:rsidR="005F0AC9" w:rsidRPr="007252CA" w:rsidRDefault="004633E5" w:rsidP="00874C00">
      <w:pPr>
        <w:spacing w:line="360" w:lineRule="auto"/>
        <w:rPr>
          <w:rFonts w:ascii="Arial" w:hAnsi="Arial"/>
          <w:b/>
          <w:sz w:val="24"/>
          <w:szCs w:val="24"/>
          <w:lang w:val="de-DE"/>
        </w:rPr>
      </w:pPr>
      <w:r w:rsidRPr="00941D80">
        <w:rPr>
          <w:rFonts w:ascii="Arial" w:hAnsi="Arial"/>
          <w:sz w:val="24"/>
          <w:szCs w:val="24"/>
          <w:lang w:val="de-DE"/>
        </w:rPr>
        <w:lastRenderedPageBreak/>
        <w:t xml:space="preserve">- </w:t>
      </w:r>
      <w:r>
        <w:rPr>
          <w:rFonts w:ascii="Arial" w:hAnsi="Arial"/>
          <w:sz w:val="24"/>
          <w:szCs w:val="24"/>
          <w:lang w:val="de-DE"/>
        </w:rPr>
        <w:t>eine</w:t>
      </w:r>
      <w:r w:rsidRPr="00941D80">
        <w:rPr>
          <w:rFonts w:ascii="Arial" w:hAnsi="Arial"/>
          <w:sz w:val="24"/>
          <w:szCs w:val="24"/>
          <w:lang w:val="de-DE"/>
        </w:rPr>
        <w:t xml:space="preserve"> </w:t>
      </w:r>
      <w:r>
        <w:rPr>
          <w:rFonts w:ascii="Arial" w:hAnsi="Arial"/>
          <w:b/>
          <w:sz w:val="24"/>
          <w:szCs w:val="24"/>
          <w:lang w:val="de-DE"/>
        </w:rPr>
        <w:t>einheitliche und verständliche Energierechnung</w:t>
      </w:r>
      <w:r>
        <w:rPr>
          <w:rFonts w:ascii="Arial" w:hAnsi="Arial"/>
          <w:sz w:val="24"/>
          <w:szCs w:val="24"/>
          <w:lang w:val="de-DE"/>
        </w:rPr>
        <w:t xml:space="preserve">, damit </w:t>
      </w:r>
      <w:r>
        <w:rPr>
          <w:rFonts w:ascii="Arial" w:hAnsi="Arial"/>
          <w:sz w:val="24"/>
          <w:szCs w:val="24"/>
          <w:lang w:val="de-DE"/>
        </w:rPr>
        <w:t>die Kunden (Gewerbetreibende) noch besser in der Lage sind, Preise, Tarife und zugestandene und in Rechnung gestellte Ermäßigungen zu beurteilen und zu vergleichen.</w:t>
      </w:r>
      <w:r w:rsidRPr="00941D80">
        <w:rPr>
          <w:rFonts w:ascii="Arial" w:hAnsi="Arial"/>
          <w:b/>
          <w:sz w:val="24"/>
          <w:szCs w:val="24"/>
          <w:lang w:val="de-DE"/>
        </w:rPr>
        <w:t xml:space="preserve"> </w:t>
      </w:r>
    </w:p>
    <w:p w:rsidR="005F0AC9" w:rsidRPr="00941D80" w:rsidRDefault="004633E5" w:rsidP="00F765F3">
      <w:pPr>
        <w:spacing w:after="0" w:line="360" w:lineRule="auto"/>
        <w:rPr>
          <w:rFonts w:ascii="Arial" w:hAnsi="Arial"/>
          <w:noProof/>
          <w:sz w:val="24"/>
          <w:szCs w:val="24"/>
          <w:lang w:val="de-DE"/>
        </w:rPr>
      </w:pPr>
    </w:p>
    <w:p w:rsidR="005F0AC9" w:rsidRPr="00941D80" w:rsidRDefault="004633E5" w:rsidP="00F765F3">
      <w:pPr>
        <w:spacing w:line="360" w:lineRule="auto"/>
        <w:rPr>
          <w:rFonts w:ascii="Arial" w:hAnsi="Arial"/>
          <w:sz w:val="24"/>
          <w:szCs w:val="24"/>
          <w:lang w:val="de-DE"/>
        </w:rPr>
      </w:pPr>
    </w:p>
    <w:p w:rsidR="005F0AC9" w:rsidRPr="00941D80" w:rsidRDefault="004633E5" w:rsidP="00F765F3">
      <w:pPr>
        <w:spacing w:line="360" w:lineRule="auto"/>
        <w:rPr>
          <w:rFonts w:ascii="Arial" w:hAnsi="Arial"/>
          <w:sz w:val="24"/>
          <w:szCs w:val="24"/>
          <w:lang w:val="de-DE"/>
        </w:rPr>
      </w:pPr>
    </w:p>
    <w:p w:rsidR="005F0AC9" w:rsidRPr="00941D80" w:rsidRDefault="004633E5" w:rsidP="00F765F3">
      <w:pPr>
        <w:spacing w:line="360" w:lineRule="auto"/>
        <w:rPr>
          <w:rFonts w:ascii="Arial" w:hAnsi="Arial"/>
          <w:sz w:val="24"/>
          <w:szCs w:val="24"/>
          <w:lang w:val="de-DE"/>
        </w:rPr>
      </w:pPr>
    </w:p>
    <w:p w:rsidR="005F0AC9" w:rsidRPr="00941D80" w:rsidRDefault="004633E5" w:rsidP="00F765F3">
      <w:pPr>
        <w:spacing w:line="360" w:lineRule="auto"/>
        <w:rPr>
          <w:rFonts w:ascii="Arial" w:hAnsi="Arial"/>
          <w:sz w:val="24"/>
          <w:szCs w:val="24"/>
          <w:u w:val="single"/>
          <w:lang w:val="de-DE"/>
        </w:rPr>
      </w:pPr>
      <w:r>
        <w:rPr>
          <w:rFonts w:ascii="Arial" w:hAnsi="Arial"/>
          <w:sz w:val="24"/>
          <w:szCs w:val="24"/>
          <w:u w:val="single"/>
          <w:lang w:val="de-DE"/>
        </w:rPr>
        <w:t>Zur Information</w:t>
      </w:r>
    </w:p>
    <w:p w:rsidR="005F0AC9" w:rsidRPr="00941D80" w:rsidRDefault="004633E5" w:rsidP="00F765F3">
      <w:pPr>
        <w:spacing w:line="360" w:lineRule="auto"/>
        <w:rPr>
          <w:rFonts w:ascii="Arial" w:hAnsi="Arial"/>
          <w:sz w:val="24"/>
          <w:szCs w:val="24"/>
          <w:lang w:val="de-DE"/>
        </w:rPr>
      </w:pPr>
      <w:r>
        <w:rPr>
          <w:rFonts w:ascii="Arial" w:hAnsi="Arial"/>
          <w:sz w:val="24"/>
          <w:szCs w:val="24"/>
          <w:lang w:val="de-DE"/>
        </w:rPr>
        <w:t xml:space="preserve">Beschwerden sind schriftlich beim </w:t>
      </w:r>
      <w:proofErr w:type="spellStart"/>
      <w:r>
        <w:rPr>
          <w:rFonts w:ascii="Arial" w:hAnsi="Arial"/>
          <w:sz w:val="24"/>
          <w:szCs w:val="24"/>
          <w:lang w:val="de-DE"/>
        </w:rPr>
        <w:t>Ombudsdienst</w:t>
      </w:r>
      <w:proofErr w:type="spellEnd"/>
      <w:r>
        <w:rPr>
          <w:rFonts w:ascii="Arial" w:hAnsi="Arial"/>
          <w:sz w:val="24"/>
          <w:szCs w:val="24"/>
          <w:lang w:val="de-DE"/>
        </w:rPr>
        <w:t xml:space="preserve"> für Energie einzureichen:</w:t>
      </w:r>
    </w:p>
    <w:p w:rsidR="005F0AC9" w:rsidRPr="00941D80" w:rsidRDefault="004633E5" w:rsidP="00F765F3">
      <w:pPr>
        <w:pStyle w:val="Paragraphedeliste"/>
        <w:numPr>
          <w:ilvl w:val="0"/>
          <w:numId w:val="11"/>
        </w:numPr>
        <w:spacing w:line="360" w:lineRule="auto"/>
        <w:rPr>
          <w:rFonts w:ascii="Arial" w:hAnsi="Arial"/>
          <w:sz w:val="24"/>
          <w:szCs w:val="24"/>
          <w:lang w:val="de-DE"/>
        </w:rPr>
      </w:pPr>
      <w:r w:rsidRPr="00941D80">
        <w:rPr>
          <w:rFonts w:ascii="Arial" w:hAnsi="Arial"/>
          <w:sz w:val="24"/>
          <w:szCs w:val="24"/>
          <w:lang w:val="de-DE"/>
        </w:rPr>
        <w:t>P</w:t>
      </w:r>
      <w:r>
        <w:rPr>
          <w:rFonts w:ascii="Arial" w:hAnsi="Arial"/>
          <w:sz w:val="24"/>
          <w:szCs w:val="24"/>
          <w:lang w:val="de-DE"/>
        </w:rPr>
        <w:t>er Post</w:t>
      </w:r>
      <w:r w:rsidRPr="00941D80">
        <w:rPr>
          <w:rFonts w:ascii="Arial" w:hAnsi="Arial"/>
          <w:sz w:val="24"/>
          <w:szCs w:val="24"/>
          <w:lang w:val="de-DE"/>
        </w:rPr>
        <w:t xml:space="preserve">: </w:t>
      </w:r>
      <w:proofErr w:type="spellStart"/>
      <w:r>
        <w:rPr>
          <w:rFonts w:ascii="Arial" w:hAnsi="Arial"/>
          <w:sz w:val="24"/>
          <w:szCs w:val="24"/>
          <w:lang w:val="de-DE"/>
        </w:rPr>
        <w:t>Ombudsdienst</w:t>
      </w:r>
      <w:proofErr w:type="spellEnd"/>
      <w:r>
        <w:rPr>
          <w:rFonts w:ascii="Arial" w:hAnsi="Arial"/>
          <w:sz w:val="24"/>
          <w:szCs w:val="24"/>
          <w:lang w:val="de-DE"/>
        </w:rPr>
        <w:t xml:space="preserve"> für Energie</w:t>
      </w:r>
      <w:r w:rsidRPr="00941D80">
        <w:rPr>
          <w:rFonts w:ascii="Arial" w:hAnsi="Arial"/>
          <w:sz w:val="24"/>
          <w:szCs w:val="24"/>
          <w:lang w:val="de-DE"/>
        </w:rPr>
        <w:t>, Rue Royale 47, 1000 Br</w:t>
      </w:r>
      <w:r>
        <w:rPr>
          <w:rFonts w:ascii="Arial" w:hAnsi="Arial"/>
          <w:sz w:val="24"/>
          <w:szCs w:val="24"/>
          <w:lang w:val="de-DE"/>
        </w:rPr>
        <w:t>üsse</w:t>
      </w:r>
      <w:r w:rsidRPr="00941D80">
        <w:rPr>
          <w:rFonts w:ascii="Arial" w:hAnsi="Arial"/>
          <w:sz w:val="24"/>
          <w:szCs w:val="24"/>
          <w:lang w:val="de-DE"/>
        </w:rPr>
        <w:t>l</w:t>
      </w:r>
    </w:p>
    <w:p w:rsidR="005F0AC9" w:rsidRPr="00941D80" w:rsidRDefault="004633E5" w:rsidP="00F765F3">
      <w:pPr>
        <w:pStyle w:val="Paragraphedeliste"/>
        <w:numPr>
          <w:ilvl w:val="0"/>
          <w:numId w:val="11"/>
        </w:numPr>
        <w:spacing w:line="360" w:lineRule="auto"/>
        <w:rPr>
          <w:rFonts w:ascii="Arial" w:hAnsi="Arial"/>
          <w:sz w:val="24"/>
          <w:szCs w:val="24"/>
          <w:lang w:val="de-DE"/>
        </w:rPr>
      </w:pPr>
      <w:r w:rsidRPr="00941D80">
        <w:rPr>
          <w:rFonts w:ascii="Arial" w:hAnsi="Arial"/>
          <w:sz w:val="24"/>
          <w:szCs w:val="24"/>
          <w:lang w:val="de-DE"/>
        </w:rPr>
        <w:t>P</w:t>
      </w:r>
      <w:r>
        <w:rPr>
          <w:rFonts w:ascii="Arial" w:hAnsi="Arial"/>
          <w:sz w:val="24"/>
          <w:szCs w:val="24"/>
          <w:lang w:val="de-DE"/>
        </w:rPr>
        <w:t>e</w:t>
      </w:r>
      <w:r w:rsidRPr="00941D80">
        <w:rPr>
          <w:rFonts w:ascii="Arial" w:hAnsi="Arial"/>
          <w:sz w:val="24"/>
          <w:szCs w:val="24"/>
          <w:lang w:val="de-DE"/>
        </w:rPr>
        <w:t xml:space="preserve">r </w:t>
      </w:r>
      <w:r>
        <w:rPr>
          <w:rFonts w:ascii="Arial" w:hAnsi="Arial"/>
          <w:sz w:val="24"/>
          <w:szCs w:val="24"/>
          <w:lang w:val="de-DE"/>
        </w:rPr>
        <w:t>F</w:t>
      </w:r>
      <w:r w:rsidRPr="00941D80">
        <w:rPr>
          <w:rFonts w:ascii="Arial" w:hAnsi="Arial"/>
          <w:sz w:val="24"/>
          <w:szCs w:val="24"/>
          <w:lang w:val="de-DE"/>
        </w:rPr>
        <w:t>ax: 02 211 10 69</w:t>
      </w:r>
    </w:p>
    <w:p w:rsidR="005F0AC9" w:rsidRPr="004633E5" w:rsidRDefault="004633E5" w:rsidP="00F765F3">
      <w:pPr>
        <w:pStyle w:val="Paragraphedeliste"/>
        <w:numPr>
          <w:ilvl w:val="0"/>
          <w:numId w:val="11"/>
        </w:numPr>
        <w:spacing w:line="360" w:lineRule="auto"/>
        <w:rPr>
          <w:rFonts w:ascii="Arial" w:hAnsi="Arial"/>
          <w:sz w:val="24"/>
          <w:szCs w:val="24"/>
          <w:lang w:val="de-DE"/>
        </w:rPr>
      </w:pPr>
      <w:r>
        <w:rPr>
          <w:rFonts w:ascii="Arial" w:hAnsi="Arial"/>
          <w:sz w:val="24"/>
          <w:szCs w:val="24"/>
          <w:lang w:val="de-DE"/>
        </w:rPr>
        <w:t>A</w:t>
      </w:r>
      <w:r>
        <w:rPr>
          <w:rFonts w:ascii="Arial" w:hAnsi="Arial"/>
          <w:sz w:val="24"/>
          <w:szCs w:val="24"/>
          <w:lang w:val="de-DE"/>
        </w:rPr>
        <w:t>nhand des elektronischen Beschwerdeformulars, das verfügbar ist auf</w:t>
      </w:r>
      <w:r w:rsidRPr="00941D80">
        <w:rPr>
          <w:rFonts w:ascii="Arial" w:hAnsi="Arial"/>
          <w:sz w:val="24"/>
          <w:szCs w:val="24"/>
          <w:lang w:val="de-DE"/>
        </w:rPr>
        <w:t xml:space="preserve"> </w:t>
      </w:r>
      <w:hyperlink r:id="rId6" w:history="1">
        <w:r w:rsidRPr="00941D80">
          <w:rPr>
            <w:rStyle w:val="Lienhypertexte"/>
            <w:rFonts w:ascii="Arial" w:hAnsi="Arial" w:cs="Arial"/>
            <w:sz w:val="24"/>
            <w:szCs w:val="24"/>
            <w:lang w:val="de-DE"/>
          </w:rPr>
          <w:t>www.ombudsmanenergie.be</w:t>
        </w:r>
      </w:hyperlink>
      <w:bookmarkStart w:id="0" w:name="_GoBack"/>
      <w:bookmarkEnd w:id="0"/>
    </w:p>
    <w:p w:rsidR="005F0AC9" w:rsidRPr="00941D80" w:rsidRDefault="004633E5" w:rsidP="00F765F3">
      <w:pPr>
        <w:spacing w:line="360" w:lineRule="auto"/>
        <w:rPr>
          <w:rFonts w:ascii="Arial" w:hAnsi="Arial"/>
          <w:i/>
          <w:sz w:val="24"/>
          <w:szCs w:val="24"/>
          <w:lang w:val="de-DE"/>
        </w:rPr>
      </w:pPr>
    </w:p>
    <w:p w:rsidR="005F0AC9" w:rsidRPr="00941D80" w:rsidRDefault="004633E5" w:rsidP="00F765F3">
      <w:pPr>
        <w:spacing w:line="360" w:lineRule="auto"/>
        <w:rPr>
          <w:rFonts w:ascii="Arial" w:hAnsi="Arial"/>
          <w:i/>
          <w:sz w:val="24"/>
          <w:szCs w:val="24"/>
          <w:lang w:val="de-DE"/>
        </w:rPr>
      </w:pPr>
      <w:r>
        <w:rPr>
          <w:rFonts w:ascii="Arial" w:hAnsi="Arial"/>
          <w:i/>
          <w:sz w:val="24"/>
          <w:szCs w:val="24"/>
          <w:lang w:val="de-DE"/>
        </w:rPr>
        <w:t>Weitere Informationen erteilt</w:t>
      </w:r>
    </w:p>
    <w:p w:rsidR="005F0AC9" w:rsidRPr="00941D80" w:rsidRDefault="004633E5" w:rsidP="00F765F3">
      <w:pPr>
        <w:spacing w:line="360" w:lineRule="auto"/>
        <w:contextualSpacing/>
        <w:rPr>
          <w:rFonts w:ascii="Arial" w:hAnsi="Arial"/>
          <w:i/>
          <w:sz w:val="24"/>
          <w:szCs w:val="24"/>
          <w:lang w:val="de-DE"/>
        </w:rPr>
      </w:pPr>
      <w:r w:rsidRPr="00941D80">
        <w:rPr>
          <w:rFonts w:ascii="Arial" w:hAnsi="Arial"/>
          <w:i/>
          <w:sz w:val="24"/>
          <w:szCs w:val="24"/>
          <w:lang w:val="de-DE"/>
        </w:rPr>
        <w:t>Eric HOUTMAN</w:t>
      </w:r>
    </w:p>
    <w:p w:rsidR="005F0AC9" w:rsidRPr="00941D80" w:rsidRDefault="004633E5" w:rsidP="00F765F3">
      <w:pPr>
        <w:spacing w:line="360" w:lineRule="auto"/>
        <w:contextualSpacing/>
        <w:rPr>
          <w:rFonts w:ascii="Arial" w:hAnsi="Arial"/>
          <w:i/>
          <w:sz w:val="24"/>
          <w:szCs w:val="24"/>
          <w:lang w:val="de-DE"/>
        </w:rPr>
      </w:pPr>
      <w:r>
        <w:rPr>
          <w:rFonts w:ascii="Arial" w:hAnsi="Arial"/>
          <w:i/>
          <w:sz w:val="24"/>
          <w:szCs w:val="24"/>
          <w:lang w:val="de-DE"/>
        </w:rPr>
        <w:t>niederländischsprachiger Ombudsmann für Energie</w:t>
      </w:r>
    </w:p>
    <w:p w:rsidR="005F0AC9" w:rsidRPr="00941D80" w:rsidRDefault="004633E5" w:rsidP="00F765F3">
      <w:pPr>
        <w:spacing w:line="360" w:lineRule="auto"/>
        <w:contextualSpacing/>
        <w:rPr>
          <w:rFonts w:ascii="Arial" w:hAnsi="Arial"/>
          <w:i/>
          <w:sz w:val="24"/>
          <w:szCs w:val="24"/>
          <w:lang w:val="de-DE"/>
        </w:rPr>
      </w:pPr>
      <w:hyperlink r:id="rId7" w:history="1">
        <w:r w:rsidRPr="00941D80">
          <w:rPr>
            <w:rStyle w:val="Lienhypertexte"/>
            <w:rFonts w:ascii="Arial" w:hAnsi="Arial" w:cs="Arial"/>
            <w:i/>
            <w:sz w:val="24"/>
            <w:szCs w:val="24"/>
            <w:lang w:val="de-DE"/>
          </w:rPr>
          <w:t>Eric.houtman@ombudsmanenergie.be</w:t>
        </w:r>
      </w:hyperlink>
    </w:p>
    <w:p w:rsidR="005F0AC9" w:rsidRPr="00941D80" w:rsidRDefault="004633E5" w:rsidP="00F765F3">
      <w:pPr>
        <w:spacing w:line="360" w:lineRule="auto"/>
        <w:contextualSpacing/>
        <w:rPr>
          <w:rFonts w:ascii="Arial" w:hAnsi="Arial"/>
          <w:i/>
          <w:sz w:val="24"/>
          <w:szCs w:val="24"/>
          <w:lang w:val="de-DE"/>
        </w:rPr>
      </w:pPr>
      <w:r w:rsidRPr="00941D80">
        <w:rPr>
          <w:rFonts w:ascii="Arial" w:hAnsi="Arial"/>
          <w:i/>
          <w:sz w:val="24"/>
          <w:szCs w:val="24"/>
          <w:lang w:val="de-DE"/>
        </w:rPr>
        <w:t>T</w:t>
      </w:r>
      <w:r>
        <w:rPr>
          <w:rFonts w:ascii="Arial" w:hAnsi="Arial"/>
          <w:i/>
          <w:sz w:val="24"/>
          <w:szCs w:val="24"/>
          <w:lang w:val="de-DE"/>
        </w:rPr>
        <w:t>e</w:t>
      </w:r>
      <w:r w:rsidRPr="00941D80">
        <w:rPr>
          <w:rFonts w:ascii="Arial" w:hAnsi="Arial"/>
          <w:i/>
          <w:sz w:val="24"/>
          <w:szCs w:val="24"/>
          <w:lang w:val="de-DE"/>
        </w:rPr>
        <w:t>l. 02/211.10.61</w:t>
      </w:r>
    </w:p>
    <w:p w:rsidR="005F0AC9" w:rsidRDefault="004633E5" w:rsidP="00F765F3">
      <w:pPr>
        <w:spacing w:line="360" w:lineRule="auto"/>
        <w:contextualSpacing/>
        <w:rPr>
          <w:rFonts w:ascii="Arial" w:hAnsi="Arial"/>
          <w:i/>
          <w:sz w:val="24"/>
          <w:szCs w:val="24"/>
          <w:lang w:val="de-DE"/>
        </w:rPr>
      </w:pPr>
      <w:r>
        <w:rPr>
          <w:rFonts w:ascii="Arial" w:hAnsi="Arial"/>
          <w:i/>
          <w:sz w:val="24"/>
          <w:szCs w:val="24"/>
          <w:lang w:val="de-DE"/>
        </w:rPr>
        <w:t>Handy</w:t>
      </w:r>
      <w:r w:rsidRPr="00941D80">
        <w:rPr>
          <w:rFonts w:ascii="Arial" w:hAnsi="Arial"/>
          <w:i/>
          <w:sz w:val="24"/>
          <w:szCs w:val="24"/>
          <w:lang w:val="de-DE"/>
        </w:rPr>
        <w:t xml:space="preserve">: </w:t>
      </w:r>
      <w:r w:rsidRPr="00941D80">
        <w:rPr>
          <w:rFonts w:ascii="Arial" w:hAnsi="Arial"/>
          <w:i/>
          <w:sz w:val="24"/>
          <w:szCs w:val="24"/>
          <w:lang w:val="de-DE"/>
        </w:rPr>
        <w:t>0479/99.25.04</w:t>
      </w:r>
    </w:p>
    <w:p w:rsidR="004633E5" w:rsidRDefault="004633E5" w:rsidP="00F765F3">
      <w:pPr>
        <w:spacing w:line="360" w:lineRule="auto"/>
        <w:contextualSpacing/>
        <w:rPr>
          <w:rFonts w:ascii="Arial" w:hAnsi="Arial"/>
          <w:i/>
          <w:sz w:val="24"/>
          <w:szCs w:val="24"/>
          <w:lang w:val="de-DE"/>
        </w:rPr>
      </w:pPr>
    </w:p>
    <w:p w:rsidR="004633E5" w:rsidRPr="00E31B9E" w:rsidRDefault="004633E5" w:rsidP="004633E5">
      <w:pPr>
        <w:rPr>
          <w:rFonts w:ascii="Arial" w:hAnsi="Arial"/>
          <w:i/>
          <w:sz w:val="24"/>
          <w:szCs w:val="24"/>
          <w:lang w:val="de-DE"/>
        </w:rPr>
      </w:pPr>
      <w:r w:rsidRPr="00E31B9E">
        <w:rPr>
          <w:rFonts w:ascii="Arial" w:hAnsi="Arial"/>
          <w:i/>
          <w:sz w:val="24"/>
          <w:szCs w:val="24"/>
          <w:lang w:val="de-DE"/>
        </w:rPr>
        <w:t>Philippe DEVUYST</w:t>
      </w:r>
    </w:p>
    <w:p w:rsidR="004633E5" w:rsidRPr="00E31B9E" w:rsidRDefault="004633E5" w:rsidP="004633E5">
      <w:pPr>
        <w:rPr>
          <w:rFonts w:ascii="Arial" w:hAnsi="Arial"/>
          <w:i/>
          <w:sz w:val="24"/>
          <w:szCs w:val="24"/>
          <w:lang w:val="de-DE"/>
        </w:rPr>
      </w:pPr>
      <w:r>
        <w:rPr>
          <w:rFonts w:ascii="Arial" w:hAnsi="Arial"/>
          <w:i/>
          <w:sz w:val="24"/>
          <w:szCs w:val="24"/>
          <w:lang w:val="de-DE"/>
        </w:rPr>
        <w:t>Französischsprachiger Me</w:t>
      </w:r>
      <w:r w:rsidRPr="00E31B9E">
        <w:rPr>
          <w:rFonts w:ascii="Arial" w:hAnsi="Arial"/>
          <w:i/>
          <w:sz w:val="24"/>
          <w:szCs w:val="24"/>
          <w:lang w:val="de-DE"/>
        </w:rPr>
        <w:t>diat</w:t>
      </w:r>
      <w:r>
        <w:rPr>
          <w:rFonts w:ascii="Arial" w:hAnsi="Arial"/>
          <w:i/>
          <w:sz w:val="24"/>
          <w:szCs w:val="24"/>
          <w:lang w:val="de-DE"/>
        </w:rPr>
        <w:t>or für Energie</w:t>
      </w:r>
    </w:p>
    <w:p w:rsidR="004633E5" w:rsidRPr="0097706F" w:rsidRDefault="004633E5" w:rsidP="004633E5">
      <w:pPr>
        <w:contextualSpacing/>
        <w:rPr>
          <w:rStyle w:val="Lienhypertexte"/>
        </w:rPr>
      </w:pPr>
      <w:hyperlink r:id="rId8" w:history="1">
        <w:r w:rsidRPr="0097706F">
          <w:rPr>
            <w:rStyle w:val="Lienhypertexte"/>
            <w:rFonts w:ascii="Arial" w:hAnsi="Arial" w:cs="Arial"/>
            <w:i/>
            <w:sz w:val="24"/>
            <w:szCs w:val="24"/>
          </w:rPr>
          <w:t>Philippe.Devuyst@ombudsmanenergie.be</w:t>
        </w:r>
      </w:hyperlink>
    </w:p>
    <w:p w:rsidR="004633E5" w:rsidRPr="0097706F" w:rsidRDefault="004633E5" w:rsidP="004633E5">
      <w:pPr>
        <w:rPr>
          <w:rFonts w:ascii="Arial" w:hAnsi="Arial"/>
          <w:i/>
          <w:sz w:val="24"/>
          <w:szCs w:val="24"/>
          <w:lang w:val="fr-BE"/>
        </w:rPr>
      </w:pPr>
      <w:r w:rsidRPr="0097706F">
        <w:rPr>
          <w:rFonts w:ascii="Arial" w:hAnsi="Arial"/>
          <w:i/>
          <w:sz w:val="24"/>
          <w:szCs w:val="24"/>
          <w:lang w:val="fr-BE"/>
        </w:rPr>
        <w:t xml:space="preserve"> 02/209.24.36</w:t>
      </w:r>
    </w:p>
    <w:p w:rsidR="004633E5" w:rsidRPr="0097706F" w:rsidRDefault="004633E5" w:rsidP="004633E5">
      <w:pPr>
        <w:rPr>
          <w:rFonts w:ascii="Arial" w:hAnsi="Arial"/>
          <w:i/>
          <w:sz w:val="24"/>
          <w:szCs w:val="24"/>
          <w:lang w:val="fr-BE"/>
        </w:rPr>
      </w:pPr>
      <w:r w:rsidRPr="0097706F">
        <w:rPr>
          <w:rFonts w:ascii="Arial" w:hAnsi="Arial"/>
          <w:i/>
          <w:sz w:val="24"/>
          <w:szCs w:val="24"/>
          <w:lang w:val="fr-BE"/>
        </w:rPr>
        <w:t>GSM 0496/12.21.42</w:t>
      </w:r>
    </w:p>
    <w:p w:rsidR="004633E5" w:rsidRPr="0097706F" w:rsidRDefault="004633E5" w:rsidP="004633E5">
      <w:pPr>
        <w:rPr>
          <w:rFonts w:ascii="Arial" w:hAnsi="Arial"/>
          <w:i/>
          <w:sz w:val="24"/>
          <w:szCs w:val="24"/>
          <w:lang w:val="fr-BE"/>
        </w:rPr>
      </w:pPr>
      <w:hyperlink r:id="rId9" w:history="1">
        <w:r w:rsidRPr="0097706F">
          <w:rPr>
            <w:rStyle w:val="Lienhypertexte"/>
            <w:rFonts w:ascii="Arial" w:hAnsi="Arial" w:cs="Arial"/>
            <w:i/>
            <w:sz w:val="24"/>
            <w:szCs w:val="24"/>
          </w:rPr>
          <w:t>www.mediateurenergie.be</w:t>
        </w:r>
      </w:hyperlink>
    </w:p>
    <w:p w:rsidR="004633E5" w:rsidRPr="00941D80" w:rsidRDefault="004633E5" w:rsidP="00F765F3">
      <w:pPr>
        <w:spacing w:line="360" w:lineRule="auto"/>
        <w:contextualSpacing/>
        <w:rPr>
          <w:rFonts w:ascii="Arial" w:hAnsi="Arial"/>
          <w:sz w:val="24"/>
          <w:szCs w:val="24"/>
          <w:lang w:val="de-DE"/>
        </w:rPr>
      </w:pPr>
    </w:p>
    <w:sectPr w:rsidR="004633E5" w:rsidRPr="00941D80" w:rsidSect="00A04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roman"/>
    <w:notTrueType/>
    <w:pitch w:val="default"/>
    <w:sig w:usb0="00000001" w:usb1="09060000" w:usb2="00000010" w:usb3="00000000" w:csb0="00080000"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A5186"/>
    <w:multiLevelType w:val="hybridMultilevel"/>
    <w:tmpl w:val="5356982C"/>
    <w:lvl w:ilvl="0" w:tplc="9A567664">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E650A5"/>
    <w:multiLevelType w:val="hybridMultilevel"/>
    <w:tmpl w:val="083C3182"/>
    <w:lvl w:ilvl="0" w:tplc="04130001">
      <w:start w:val="1"/>
      <w:numFmt w:val="bullet"/>
      <w:lvlText w:val=""/>
      <w:lvlJc w:val="left"/>
      <w:pPr>
        <w:tabs>
          <w:tab w:val="num" w:pos="1440"/>
        </w:tabs>
        <w:ind w:left="1440" w:hanging="360"/>
      </w:pPr>
      <w:rPr>
        <w:rFonts w:ascii="Symbol" w:hAnsi="Symbol" w:hint="default"/>
      </w:rPr>
    </w:lvl>
    <w:lvl w:ilvl="1" w:tplc="1714B2C0">
      <w:start w:val="1"/>
      <w:numFmt w:val="bullet"/>
      <w:lvlText w:val="•"/>
      <w:lvlJc w:val="left"/>
      <w:pPr>
        <w:tabs>
          <w:tab w:val="num" w:pos="2160"/>
        </w:tabs>
        <w:ind w:left="2160" w:hanging="360"/>
      </w:pPr>
      <w:rPr>
        <w:rFonts w:ascii="Arial" w:hAnsi="Arial" w:hint="default"/>
      </w:rPr>
    </w:lvl>
    <w:lvl w:ilvl="2" w:tplc="1CA2DF72" w:tentative="1">
      <w:start w:val="1"/>
      <w:numFmt w:val="bullet"/>
      <w:lvlText w:val="•"/>
      <w:lvlJc w:val="left"/>
      <w:pPr>
        <w:tabs>
          <w:tab w:val="num" w:pos="2880"/>
        </w:tabs>
        <w:ind w:left="2880" w:hanging="360"/>
      </w:pPr>
      <w:rPr>
        <w:rFonts w:ascii="Arial" w:hAnsi="Arial" w:hint="default"/>
      </w:rPr>
    </w:lvl>
    <w:lvl w:ilvl="3" w:tplc="B666F046" w:tentative="1">
      <w:start w:val="1"/>
      <w:numFmt w:val="bullet"/>
      <w:lvlText w:val="•"/>
      <w:lvlJc w:val="left"/>
      <w:pPr>
        <w:tabs>
          <w:tab w:val="num" w:pos="3600"/>
        </w:tabs>
        <w:ind w:left="3600" w:hanging="360"/>
      </w:pPr>
      <w:rPr>
        <w:rFonts w:ascii="Arial" w:hAnsi="Arial" w:hint="default"/>
      </w:rPr>
    </w:lvl>
    <w:lvl w:ilvl="4" w:tplc="77DEE882" w:tentative="1">
      <w:start w:val="1"/>
      <w:numFmt w:val="bullet"/>
      <w:lvlText w:val="•"/>
      <w:lvlJc w:val="left"/>
      <w:pPr>
        <w:tabs>
          <w:tab w:val="num" w:pos="4320"/>
        </w:tabs>
        <w:ind w:left="4320" w:hanging="360"/>
      </w:pPr>
      <w:rPr>
        <w:rFonts w:ascii="Arial" w:hAnsi="Arial" w:hint="default"/>
      </w:rPr>
    </w:lvl>
    <w:lvl w:ilvl="5" w:tplc="89027504" w:tentative="1">
      <w:start w:val="1"/>
      <w:numFmt w:val="bullet"/>
      <w:lvlText w:val="•"/>
      <w:lvlJc w:val="left"/>
      <w:pPr>
        <w:tabs>
          <w:tab w:val="num" w:pos="5040"/>
        </w:tabs>
        <w:ind w:left="5040" w:hanging="360"/>
      </w:pPr>
      <w:rPr>
        <w:rFonts w:ascii="Arial" w:hAnsi="Arial" w:hint="default"/>
      </w:rPr>
    </w:lvl>
    <w:lvl w:ilvl="6" w:tplc="BF2CA1AA" w:tentative="1">
      <w:start w:val="1"/>
      <w:numFmt w:val="bullet"/>
      <w:lvlText w:val="•"/>
      <w:lvlJc w:val="left"/>
      <w:pPr>
        <w:tabs>
          <w:tab w:val="num" w:pos="5760"/>
        </w:tabs>
        <w:ind w:left="5760" w:hanging="360"/>
      </w:pPr>
      <w:rPr>
        <w:rFonts w:ascii="Arial" w:hAnsi="Arial" w:hint="default"/>
      </w:rPr>
    </w:lvl>
    <w:lvl w:ilvl="7" w:tplc="6D1E8D46" w:tentative="1">
      <w:start w:val="1"/>
      <w:numFmt w:val="bullet"/>
      <w:lvlText w:val="•"/>
      <w:lvlJc w:val="left"/>
      <w:pPr>
        <w:tabs>
          <w:tab w:val="num" w:pos="6480"/>
        </w:tabs>
        <w:ind w:left="6480" w:hanging="360"/>
      </w:pPr>
      <w:rPr>
        <w:rFonts w:ascii="Arial" w:hAnsi="Arial" w:hint="default"/>
      </w:rPr>
    </w:lvl>
    <w:lvl w:ilvl="8" w:tplc="264C8C52" w:tentative="1">
      <w:start w:val="1"/>
      <w:numFmt w:val="bullet"/>
      <w:lvlText w:val="•"/>
      <w:lvlJc w:val="left"/>
      <w:pPr>
        <w:tabs>
          <w:tab w:val="num" w:pos="7200"/>
        </w:tabs>
        <w:ind w:left="7200" w:hanging="360"/>
      </w:pPr>
      <w:rPr>
        <w:rFonts w:ascii="Arial" w:hAnsi="Arial" w:hint="default"/>
      </w:rPr>
    </w:lvl>
  </w:abstractNum>
  <w:abstractNum w:abstractNumId="2">
    <w:nsid w:val="1197082A"/>
    <w:multiLevelType w:val="hybridMultilevel"/>
    <w:tmpl w:val="DD64C776"/>
    <w:lvl w:ilvl="0" w:tplc="04130005">
      <w:start w:val="1"/>
      <w:numFmt w:val="bullet"/>
      <w:lvlText w:val=""/>
      <w:lvlJc w:val="left"/>
      <w:pPr>
        <w:ind w:left="1800" w:hanging="360"/>
      </w:pPr>
      <w:rPr>
        <w:rFonts w:ascii="Wingdings" w:hAnsi="Wingdings" w:hint="default"/>
      </w:rPr>
    </w:lvl>
    <w:lvl w:ilvl="1" w:tplc="04130005">
      <w:start w:val="1"/>
      <w:numFmt w:val="bullet"/>
      <w:lvlText w:val=""/>
      <w:lvlJc w:val="left"/>
      <w:pPr>
        <w:ind w:left="2520" w:hanging="360"/>
      </w:pPr>
      <w:rPr>
        <w:rFonts w:ascii="Wingdings" w:hAnsi="Wingdings"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
    <w:nsid w:val="1D6A172F"/>
    <w:multiLevelType w:val="hybridMultilevel"/>
    <w:tmpl w:val="B46C159E"/>
    <w:lvl w:ilvl="0" w:tplc="04130001">
      <w:start w:val="1"/>
      <w:numFmt w:val="bullet"/>
      <w:lvlText w:val=""/>
      <w:lvlJc w:val="left"/>
      <w:pPr>
        <w:ind w:left="4141" w:hanging="360"/>
      </w:pPr>
      <w:rPr>
        <w:rFonts w:ascii="Symbol" w:hAnsi="Symbol" w:hint="default"/>
      </w:rPr>
    </w:lvl>
    <w:lvl w:ilvl="1" w:tplc="04130003">
      <w:start w:val="1"/>
      <w:numFmt w:val="bullet"/>
      <w:lvlText w:val="o"/>
      <w:lvlJc w:val="left"/>
      <w:pPr>
        <w:ind w:left="4861" w:hanging="360"/>
      </w:pPr>
      <w:rPr>
        <w:rFonts w:ascii="Courier New" w:hAnsi="Courier New" w:hint="default"/>
      </w:rPr>
    </w:lvl>
    <w:lvl w:ilvl="2" w:tplc="04130005" w:tentative="1">
      <w:start w:val="1"/>
      <w:numFmt w:val="bullet"/>
      <w:lvlText w:val=""/>
      <w:lvlJc w:val="left"/>
      <w:pPr>
        <w:ind w:left="5581" w:hanging="360"/>
      </w:pPr>
      <w:rPr>
        <w:rFonts w:ascii="Wingdings" w:hAnsi="Wingdings" w:hint="default"/>
      </w:rPr>
    </w:lvl>
    <w:lvl w:ilvl="3" w:tplc="04130001" w:tentative="1">
      <w:start w:val="1"/>
      <w:numFmt w:val="bullet"/>
      <w:lvlText w:val=""/>
      <w:lvlJc w:val="left"/>
      <w:pPr>
        <w:ind w:left="6301" w:hanging="360"/>
      </w:pPr>
      <w:rPr>
        <w:rFonts w:ascii="Symbol" w:hAnsi="Symbol" w:hint="default"/>
      </w:rPr>
    </w:lvl>
    <w:lvl w:ilvl="4" w:tplc="04130003" w:tentative="1">
      <w:start w:val="1"/>
      <w:numFmt w:val="bullet"/>
      <w:lvlText w:val="o"/>
      <w:lvlJc w:val="left"/>
      <w:pPr>
        <w:ind w:left="7021" w:hanging="360"/>
      </w:pPr>
      <w:rPr>
        <w:rFonts w:ascii="Courier New" w:hAnsi="Courier New" w:hint="default"/>
      </w:rPr>
    </w:lvl>
    <w:lvl w:ilvl="5" w:tplc="04130005" w:tentative="1">
      <w:start w:val="1"/>
      <w:numFmt w:val="bullet"/>
      <w:lvlText w:val=""/>
      <w:lvlJc w:val="left"/>
      <w:pPr>
        <w:ind w:left="7741" w:hanging="360"/>
      </w:pPr>
      <w:rPr>
        <w:rFonts w:ascii="Wingdings" w:hAnsi="Wingdings" w:hint="default"/>
      </w:rPr>
    </w:lvl>
    <w:lvl w:ilvl="6" w:tplc="04130001" w:tentative="1">
      <w:start w:val="1"/>
      <w:numFmt w:val="bullet"/>
      <w:lvlText w:val=""/>
      <w:lvlJc w:val="left"/>
      <w:pPr>
        <w:ind w:left="8461" w:hanging="360"/>
      </w:pPr>
      <w:rPr>
        <w:rFonts w:ascii="Symbol" w:hAnsi="Symbol" w:hint="default"/>
      </w:rPr>
    </w:lvl>
    <w:lvl w:ilvl="7" w:tplc="04130003" w:tentative="1">
      <w:start w:val="1"/>
      <w:numFmt w:val="bullet"/>
      <w:lvlText w:val="o"/>
      <w:lvlJc w:val="left"/>
      <w:pPr>
        <w:ind w:left="9181" w:hanging="360"/>
      </w:pPr>
      <w:rPr>
        <w:rFonts w:ascii="Courier New" w:hAnsi="Courier New" w:hint="default"/>
      </w:rPr>
    </w:lvl>
    <w:lvl w:ilvl="8" w:tplc="04130005" w:tentative="1">
      <w:start w:val="1"/>
      <w:numFmt w:val="bullet"/>
      <w:lvlText w:val=""/>
      <w:lvlJc w:val="left"/>
      <w:pPr>
        <w:ind w:left="9901" w:hanging="360"/>
      </w:pPr>
      <w:rPr>
        <w:rFonts w:ascii="Wingdings" w:hAnsi="Wingdings" w:hint="default"/>
      </w:rPr>
    </w:lvl>
  </w:abstractNum>
  <w:abstractNum w:abstractNumId="4">
    <w:nsid w:val="1DFA41C3"/>
    <w:multiLevelType w:val="hybridMultilevel"/>
    <w:tmpl w:val="DB4A294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209640D"/>
    <w:multiLevelType w:val="hybridMultilevel"/>
    <w:tmpl w:val="2C146C2E"/>
    <w:lvl w:ilvl="0" w:tplc="04130001">
      <w:start w:val="1"/>
      <w:numFmt w:val="bullet"/>
      <w:lvlText w:val=""/>
      <w:lvlJc w:val="left"/>
      <w:pPr>
        <w:ind w:left="720" w:hanging="360"/>
      </w:pPr>
      <w:rPr>
        <w:rFonts w:ascii="Symbol" w:hAnsi="Symbol" w:hint="default"/>
      </w:rPr>
    </w:lvl>
    <w:lvl w:ilvl="1" w:tplc="9A567664">
      <w:numFmt w:val="bullet"/>
      <w:lvlText w:val="-"/>
      <w:lvlJc w:val="left"/>
      <w:pPr>
        <w:ind w:left="1440" w:hanging="360"/>
      </w:pPr>
      <w:rPr>
        <w:rFonts w:ascii="Calibri" w:eastAsia="Times New Roman" w:hAnsi="Calibri" w:hint="default"/>
      </w:rPr>
    </w:lvl>
    <w:lvl w:ilvl="2" w:tplc="0413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8EB09E1"/>
    <w:multiLevelType w:val="hybridMultilevel"/>
    <w:tmpl w:val="0C2AF0EC"/>
    <w:lvl w:ilvl="0" w:tplc="04130005">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7">
    <w:nsid w:val="2A0E12ED"/>
    <w:multiLevelType w:val="hybridMultilevel"/>
    <w:tmpl w:val="D90636AC"/>
    <w:lvl w:ilvl="0" w:tplc="E0C237FE">
      <w:numFmt w:val="bullet"/>
      <w:lvlText w:val="-"/>
      <w:lvlJc w:val="left"/>
      <w:pPr>
        <w:ind w:left="720" w:hanging="360"/>
      </w:pPr>
      <w:rPr>
        <w:rFonts w:ascii="Arial" w:eastAsia="Malgun Gothic" w:hAnsi="Arial" w:hint="default"/>
        <w:u w:val="none"/>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62454B"/>
    <w:multiLevelType w:val="hybridMultilevel"/>
    <w:tmpl w:val="CF5E032E"/>
    <w:lvl w:ilvl="0" w:tplc="04130011">
      <w:start w:val="1"/>
      <w:numFmt w:val="decimal"/>
      <w:lvlText w:val="%1)"/>
      <w:lvlJc w:val="left"/>
      <w:pPr>
        <w:ind w:left="720" w:hanging="360"/>
      </w:pPr>
      <w:rPr>
        <w:rFonts w:cs="Times New Roman" w:hint="default"/>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nsid w:val="47AB4033"/>
    <w:multiLevelType w:val="hybridMultilevel"/>
    <w:tmpl w:val="3AA097BA"/>
    <w:lvl w:ilvl="0" w:tplc="04130003">
      <w:start w:val="1"/>
      <w:numFmt w:val="bullet"/>
      <w:lvlText w:val="o"/>
      <w:lvlJc w:val="left"/>
      <w:pPr>
        <w:ind w:left="1800" w:hanging="360"/>
      </w:pPr>
      <w:rPr>
        <w:rFonts w:ascii="Courier New" w:hAnsi="Courier New" w:hint="default"/>
      </w:rPr>
    </w:lvl>
    <w:lvl w:ilvl="1" w:tplc="04130003" w:tentative="1">
      <w:start w:val="1"/>
      <w:numFmt w:val="bullet"/>
      <w:lvlText w:val="o"/>
      <w:lvlJc w:val="left"/>
      <w:pPr>
        <w:ind w:left="2520" w:hanging="360"/>
      </w:pPr>
      <w:rPr>
        <w:rFonts w:ascii="Courier New" w:hAnsi="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0">
    <w:nsid w:val="509F2D5C"/>
    <w:multiLevelType w:val="hybridMultilevel"/>
    <w:tmpl w:val="CAA247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4E33132"/>
    <w:multiLevelType w:val="hybridMultilevel"/>
    <w:tmpl w:val="B622BA2C"/>
    <w:lvl w:ilvl="0" w:tplc="D368D26A">
      <w:start w:val="19"/>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6592043"/>
    <w:multiLevelType w:val="hybridMultilevel"/>
    <w:tmpl w:val="7806230E"/>
    <w:lvl w:ilvl="0" w:tplc="D368D26A">
      <w:start w:val="19"/>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EA2FF2"/>
    <w:multiLevelType w:val="hybridMultilevel"/>
    <w:tmpl w:val="03D434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750938F7"/>
    <w:multiLevelType w:val="hybridMultilevel"/>
    <w:tmpl w:val="35125EDA"/>
    <w:lvl w:ilvl="0" w:tplc="04130005">
      <w:start w:val="1"/>
      <w:numFmt w:val="bullet"/>
      <w:lvlText w:val=""/>
      <w:lvlJc w:val="left"/>
      <w:pPr>
        <w:ind w:left="2461" w:hanging="360"/>
      </w:pPr>
      <w:rPr>
        <w:rFonts w:ascii="Wingdings" w:hAnsi="Wingdings" w:hint="default"/>
      </w:rPr>
    </w:lvl>
    <w:lvl w:ilvl="1" w:tplc="04130003" w:tentative="1">
      <w:start w:val="1"/>
      <w:numFmt w:val="bullet"/>
      <w:lvlText w:val="o"/>
      <w:lvlJc w:val="left"/>
      <w:pPr>
        <w:ind w:left="3181" w:hanging="360"/>
      </w:pPr>
      <w:rPr>
        <w:rFonts w:ascii="Courier New" w:hAnsi="Courier New" w:hint="default"/>
      </w:rPr>
    </w:lvl>
    <w:lvl w:ilvl="2" w:tplc="04130005" w:tentative="1">
      <w:start w:val="1"/>
      <w:numFmt w:val="bullet"/>
      <w:lvlText w:val=""/>
      <w:lvlJc w:val="left"/>
      <w:pPr>
        <w:ind w:left="3901" w:hanging="360"/>
      </w:pPr>
      <w:rPr>
        <w:rFonts w:ascii="Wingdings" w:hAnsi="Wingdings" w:hint="default"/>
      </w:rPr>
    </w:lvl>
    <w:lvl w:ilvl="3" w:tplc="04130001" w:tentative="1">
      <w:start w:val="1"/>
      <w:numFmt w:val="bullet"/>
      <w:lvlText w:val=""/>
      <w:lvlJc w:val="left"/>
      <w:pPr>
        <w:ind w:left="4621" w:hanging="360"/>
      </w:pPr>
      <w:rPr>
        <w:rFonts w:ascii="Symbol" w:hAnsi="Symbol" w:hint="default"/>
      </w:rPr>
    </w:lvl>
    <w:lvl w:ilvl="4" w:tplc="04130003" w:tentative="1">
      <w:start w:val="1"/>
      <w:numFmt w:val="bullet"/>
      <w:lvlText w:val="o"/>
      <w:lvlJc w:val="left"/>
      <w:pPr>
        <w:ind w:left="5341" w:hanging="360"/>
      </w:pPr>
      <w:rPr>
        <w:rFonts w:ascii="Courier New" w:hAnsi="Courier New" w:hint="default"/>
      </w:rPr>
    </w:lvl>
    <w:lvl w:ilvl="5" w:tplc="04130005" w:tentative="1">
      <w:start w:val="1"/>
      <w:numFmt w:val="bullet"/>
      <w:lvlText w:val=""/>
      <w:lvlJc w:val="left"/>
      <w:pPr>
        <w:ind w:left="6061" w:hanging="360"/>
      </w:pPr>
      <w:rPr>
        <w:rFonts w:ascii="Wingdings" w:hAnsi="Wingdings" w:hint="default"/>
      </w:rPr>
    </w:lvl>
    <w:lvl w:ilvl="6" w:tplc="04130001" w:tentative="1">
      <w:start w:val="1"/>
      <w:numFmt w:val="bullet"/>
      <w:lvlText w:val=""/>
      <w:lvlJc w:val="left"/>
      <w:pPr>
        <w:ind w:left="6781" w:hanging="360"/>
      </w:pPr>
      <w:rPr>
        <w:rFonts w:ascii="Symbol" w:hAnsi="Symbol" w:hint="default"/>
      </w:rPr>
    </w:lvl>
    <w:lvl w:ilvl="7" w:tplc="04130003" w:tentative="1">
      <w:start w:val="1"/>
      <w:numFmt w:val="bullet"/>
      <w:lvlText w:val="o"/>
      <w:lvlJc w:val="left"/>
      <w:pPr>
        <w:ind w:left="7501" w:hanging="360"/>
      </w:pPr>
      <w:rPr>
        <w:rFonts w:ascii="Courier New" w:hAnsi="Courier New" w:hint="default"/>
      </w:rPr>
    </w:lvl>
    <w:lvl w:ilvl="8" w:tplc="04130005" w:tentative="1">
      <w:start w:val="1"/>
      <w:numFmt w:val="bullet"/>
      <w:lvlText w:val=""/>
      <w:lvlJc w:val="left"/>
      <w:pPr>
        <w:ind w:left="8221" w:hanging="360"/>
      </w:pPr>
      <w:rPr>
        <w:rFonts w:ascii="Wingdings" w:hAnsi="Wingdings" w:hint="default"/>
      </w:rPr>
    </w:lvl>
  </w:abstractNum>
  <w:abstractNum w:abstractNumId="15">
    <w:nsid w:val="7E170CAE"/>
    <w:multiLevelType w:val="hybridMultilevel"/>
    <w:tmpl w:val="9F6697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E2B079A"/>
    <w:multiLevelType w:val="hybridMultilevel"/>
    <w:tmpl w:val="8C20274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7">
    <w:nsid w:val="7FE1251F"/>
    <w:multiLevelType w:val="hybridMultilevel"/>
    <w:tmpl w:val="B39AA9BE"/>
    <w:lvl w:ilvl="0" w:tplc="04130003">
      <w:start w:val="1"/>
      <w:numFmt w:val="bullet"/>
      <w:lvlText w:val="o"/>
      <w:lvlJc w:val="left"/>
      <w:pPr>
        <w:ind w:left="1800" w:hanging="360"/>
      </w:pPr>
      <w:rPr>
        <w:rFonts w:ascii="Courier New" w:hAnsi="Courier New" w:hint="default"/>
      </w:rPr>
    </w:lvl>
    <w:lvl w:ilvl="1" w:tplc="04130005">
      <w:start w:val="1"/>
      <w:numFmt w:val="bullet"/>
      <w:lvlText w:val=""/>
      <w:lvlJc w:val="left"/>
      <w:pPr>
        <w:ind w:left="2520" w:hanging="360"/>
      </w:pPr>
      <w:rPr>
        <w:rFonts w:ascii="Wingdings" w:hAnsi="Wingdings"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hint="default"/>
      </w:rPr>
    </w:lvl>
    <w:lvl w:ilvl="8" w:tplc="04130005" w:tentative="1">
      <w:start w:val="1"/>
      <w:numFmt w:val="bullet"/>
      <w:lvlText w:val=""/>
      <w:lvlJc w:val="left"/>
      <w:pPr>
        <w:ind w:left="7560" w:hanging="360"/>
      </w:pPr>
      <w:rPr>
        <w:rFonts w:ascii="Wingdings" w:hAnsi="Wingdings" w:hint="default"/>
      </w:rPr>
    </w:lvl>
  </w:abstractNum>
  <w:num w:numId="1">
    <w:abstractNumId w:val="8"/>
  </w:num>
  <w:num w:numId="2">
    <w:abstractNumId w:val="6"/>
  </w:num>
  <w:num w:numId="3">
    <w:abstractNumId w:val="3"/>
  </w:num>
  <w:num w:numId="4">
    <w:abstractNumId w:val="14"/>
  </w:num>
  <w:num w:numId="5">
    <w:abstractNumId w:val="2"/>
  </w:num>
  <w:num w:numId="6">
    <w:abstractNumId w:val="9"/>
  </w:num>
  <w:num w:numId="7">
    <w:abstractNumId w:val="17"/>
  </w:num>
  <w:num w:numId="8">
    <w:abstractNumId w:val="1"/>
  </w:num>
  <w:num w:numId="9">
    <w:abstractNumId w:val="4"/>
  </w:num>
  <w:num w:numId="10">
    <w:abstractNumId w:val="10"/>
  </w:num>
  <w:num w:numId="11">
    <w:abstractNumId w:val="16"/>
  </w:num>
  <w:num w:numId="12">
    <w:abstractNumId w:val="15"/>
  </w:num>
  <w:num w:numId="13">
    <w:abstractNumId w:val="5"/>
  </w:num>
  <w:num w:numId="14">
    <w:abstractNumId w:val="11"/>
  </w:num>
  <w:num w:numId="15">
    <w:abstractNumId w:val="0"/>
  </w:num>
  <w:num w:numId="16">
    <w:abstractNumId w:val="7"/>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90"/>
    <w:rsid w:val="004633E5"/>
    <w:rsid w:val="00BF319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A5390-53C5-4D3F-A761-6420BF84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Arial"/>
        <w:sz w:val="22"/>
        <w:szCs w:val="22"/>
        <w:lang w:val="en-US"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A06"/>
    <w:pPr>
      <w:spacing w:after="200" w:line="276" w:lineRule="auto"/>
    </w:pPr>
    <w:rPr>
      <w:lang w:val="nl-BE"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BF3190"/>
    <w:pPr>
      <w:ind w:left="720"/>
      <w:contextualSpacing/>
    </w:pPr>
  </w:style>
  <w:style w:type="character" w:styleId="Lienhypertexte">
    <w:name w:val="Hyperlink"/>
    <w:basedOn w:val="Policepardfaut"/>
    <w:uiPriority w:val="99"/>
    <w:rsid w:val="00555275"/>
    <w:rPr>
      <w:rFonts w:cs="Times New Roman"/>
      <w:color w:val="0000FF"/>
      <w:u w:val="single"/>
    </w:rPr>
  </w:style>
  <w:style w:type="paragraph" w:styleId="Textedebulles">
    <w:name w:val="Balloon Text"/>
    <w:basedOn w:val="Normal"/>
    <w:link w:val="TextedebullesCar"/>
    <w:uiPriority w:val="99"/>
    <w:semiHidden/>
    <w:rsid w:val="00057C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7C73"/>
    <w:rPr>
      <w:rFonts w:ascii="Tahoma" w:hAnsi="Tahoma" w:cs="Tahoma"/>
      <w:sz w:val="16"/>
      <w:szCs w:val="16"/>
      <w:lang w:val="en-US"/>
    </w:rPr>
  </w:style>
  <w:style w:type="paragraph" w:customStyle="1" w:styleId="Lijstalinea1">
    <w:name w:val="Lijstalinea1"/>
    <w:basedOn w:val="Normal"/>
    <w:uiPriority w:val="99"/>
    <w:rsid w:val="001E0B52"/>
    <w:pPr>
      <w:ind w:left="720"/>
    </w:pPr>
    <w:rPr>
      <w:rFonts w:cs="Calibri"/>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lippe.Devuyst@ombudsmanenergie.be" TargetMode="External"/><Relationship Id="rId3" Type="http://schemas.openxmlformats.org/officeDocument/2006/relationships/settings" Target="settings.xml"/><Relationship Id="rId7" Type="http://schemas.openxmlformats.org/officeDocument/2006/relationships/hyperlink" Target="mailto:Eric.houtman@ombudsmanenergi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budsmanenergie.b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diateurenergi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4676</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Mertens Priscilla</cp:lastModifiedBy>
  <cp:revision>2</cp:revision>
  <cp:lastPrinted>2014-04-24T08:07:00Z</cp:lastPrinted>
  <dcterms:created xsi:type="dcterms:W3CDTF">2015-05-26T13:46:00Z</dcterms:created>
  <dcterms:modified xsi:type="dcterms:W3CDTF">2015-05-26T13:46:00Z</dcterms:modified>
</cp:coreProperties>
</file>